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BCB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</w:pPr>
    </w:p>
    <w:p w14:paraId="7B4D77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Bacteroides thetaiotaomicron Real-time Fluorescent Quantitative Detection Kit</w:t>
      </w:r>
      <w:bookmarkStart w:id="0" w:name="_GoBack"/>
      <w:bookmarkEnd w:id="0"/>
    </w:p>
    <w:p w14:paraId="140C9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一、产品名称</w:t>
      </w:r>
    </w:p>
    <w:p w14:paraId="5720B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中文名称：多形拟杆菌实时荧光定量检测试剂盒</w:t>
      </w:r>
    </w:p>
    <w:p w14:paraId="150FF7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货号：HS628270</w:t>
      </w:r>
    </w:p>
    <w:p w14:paraId="414893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eastAsia="zh-CN"/>
        </w:rPr>
      </w:pPr>
    </w:p>
    <w:p w14:paraId="4FD682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二、产品内容</w:t>
      </w:r>
    </w:p>
    <w:tbl>
      <w:tblPr>
        <w:tblStyle w:val="8"/>
        <w:tblW w:w="839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3750"/>
        <w:gridCol w:w="1894"/>
        <w:gridCol w:w="1303"/>
      </w:tblGrid>
      <w:tr w14:paraId="2F7A48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451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895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货号</w:t>
            </w:r>
          </w:p>
        </w:tc>
        <w:tc>
          <w:tcPr>
            <w:tcW w:w="3750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091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产品成分</w:t>
            </w:r>
          </w:p>
        </w:tc>
        <w:tc>
          <w:tcPr>
            <w:tcW w:w="1894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78B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1303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A65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  <w:t>储存条件</w:t>
            </w:r>
          </w:p>
        </w:tc>
      </w:tr>
      <w:tr w14:paraId="0941CF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51" w:type="dxa"/>
            <w:vMerge w:val="restart"/>
            <w:tcBorders>
              <w:top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5EB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HS628270</w:t>
            </w:r>
          </w:p>
        </w:tc>
        <w:tc>
          <w:tcPr>
            <w:tcW w:w="3750" w:type="dxa"/>
            <w:tcBorders>
              <w:top w:val="single" w:color="000000" w:sz="4" w:space="0"/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340D31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2× Probe qPCR Mix</w:t>
            </w:r>
          </w:p>
        </w:tc>
        <w:tc>
          <w:tcPr>
            <w:tcW w:w="1894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15990F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2 × 600 μL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081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  <w:lang w:eastAsia="zh-CN"/>
              </w:rPr>
              <w:t>-20℃</w:t>
            </w:r>
          </w:p>
        </w:tc>
      </w:tr>
      <w:tr w14:paraId="7D50F5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3" w:hRule="atLeast"/>
        </w:trPr>
        <w:tc>
          <w:tcPr>
            <w:tcW w:w="1451" w:type="dxa"/>
            <w:vMerge w:val="continue"/>
            <w:tcBorders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8B3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  <w:tc>
          <w:tcPr>
            <w:tcW w:w="3750" w:type="dxa"/>
            <w:tcBorders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24BAF3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</w:rPr>
              <w:t>BT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Primer &amp; Probe Mix</w:t>
            </w:r>
          </w:p>
        </w:tc>
        <w:tc>
          <w:tcPr>
            <w:tcW w:w="18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C0E9DB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120 μL</w:t>
            </w: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518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</w:tr>
      <w:tr w14:paraId="4DB87F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51" w:type="dxa"/>
            <w:vMerge w:val="continue"/>
            <w:tcBorders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217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  <w:tc>
          <w:tcPr>
            <w:tcW w:w="3750" w:type="dxa"/>
            <w:tcBorders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B219C7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</w:rPr>
              <w:t>BT</w:t>
            </w: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Quantitative</w:t>
            </w:r>
            <w:r>
              <w:rPr>
                <w:rFonts w:hint="eastAsia" w:ascii="Times New Roman" w:hAnsi="Times New Roman"/>
                <w:color w:val="20202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>Standard</w:t>
            </w:r>
          </w:p>
        </w:tc>
        <w:tc>
          <w:tcPr>
            <w:tcW w:w="18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FEE69F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5 × 120 μL</w:t>
            </w: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C43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</w:tr>
      <w:tr w14:paraId="7E1186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51" w:type="dxa"/>
            <w:vMerge w:val="continue"/>
            <w:tcBorders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016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</w:pPr>
          </w:p>
        </w:tc>
        <w:tc>
          <w:tcPr>
            <w:tcW w:w="3750" w:type="dxa"/>
            <w:tcBorders>
              <w:lef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7AD49B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No Template Control (NTC)</w:t>
            </w:r>
          </w:p>
        </w:tc>
        <w:tc>
          <w:tcPr>
            <w:tcW w:w="1894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345CEA">
            <w:pPr>
              <w:widowControl w:val="0"/>
              <w:spacing w:after="0"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480 μL</w:t>
            </w: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F07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</w:tbl>
    <w:p w14:paraId="649D96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三、储存条件</w:t>
      </w:r>
    </w:p>
    <w:p w14:paraId="310248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  <w:lang w:val="en-US" w:eastAsia="zh-CN"/>
        </w:rPr>
        <w:t>本产品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收到后置于 -20℃ 避光保存，避免反复冻融；建议按单次用量分装。未开封试剂在规定条件下有效期为 12 个月。定量标准品解冻后应轻柔混匀并短暂离心。具体有效期以产品标签为准。</w:t>
      </w:r>
    </w:p>
    <w:p w14:paraId="1EDCB3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产品介绍</w:t>
      </w:r>
    </w:p>
    <w:p w14:paraId="38C2F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/>
          <w:sz w:val="28"/>
          <w:szCs w:val="28"/>
          <w:lang w:eastAsia="zh-CN"/>
        </w:rPr>
      </w:pPr>
      <w:r>
        <w:rPr>
          <w:rFonts w:hint="eastAsia" w:ascii="Times New Roman" w:hAnsi="Times New Roman"/>
          <w:sz w:val="28"/>
          <w:szCs w:val="28"/>
          <w:lang w:eastAsia="zh-CN"/>
        </w:rPr>
        <w:t>本试剂盒采用 TaqMan 探针法实时荧光定量 PCR，用于定量检测样本中的</w:t>
      </w:r>
      <w:r>
        <w:rPr>
          <w:rFonts w:hint="eastAsia" w:ascii="Times New Roman" w:hAnsi="Times New Roman" w:eastAsiaTheme="minorEastAsia" w:cstheme="minorEastAsia"/>
          <w:sz w:val="28"/>
          <w:szCs w:val="28"/>
        </w:rPr>
        <w:t>多形拟杆菌</w:t>
      </w:r>
      <w:r>
        <w:rPr>
          <w:rFonts w:hint="eastAsia" w:ascii="Times New Roman" w:hAnsi="Times New Roman"/>
          <w:sz w:val="28"/>
          <w:szCs w:val="28"/>
          <w:lang w:eastAsia="zh-CN"/>
        </w:rPr>
        <w:t xml:space="preserve"> （Bacteroides thetaiotaomicron，</w:t>
      </w:r>
      <w:r>
        <w:rPr>
          <w:rFonts w:hint="eastAsia" w:ascii="Times New Roman" w:hAnsi="Times New Roman"/>
          <w:color w:val="202020"/>
          <w:sz w:val="28"/>
          <w:szCs w:val="28"/>
        </w:rPr>
        <w:t>BT</w:t>
      </w:r>
      <w:r>
        <w:rPr>
          <w:rFonts w:hint="eastAsia" w:ascii="Times New Roman" w:hAnsi="Times New Roman"/>
          <w:sz w:val="28"/>
          <w:szCs w:val="28"/>
          <w:lang w:eastAsia="zh-CN"/>
        </w:rPr>
        <w:t xml:space="preserve">) DNA。试剂盒包含 </w:t>
      </w:r>
      <w:r>
        <w:rPr>
          <w:rFonts w:hint="eastAsia" w:ascii="Times New Roman" w:hAnsi="Times New Roman"/>
          <w:color w:val="202020"/>
          <w:sz w:val="28"/>
          <w:szCs w:val="28"/>
        </w:rPr>
        <w:t>BT</w:t>
      </w:r>
      <w:r>
        <w:rPr>
          <w:rFonts w:hint="eastAsia" w:ascii="Times New Roman" w:hAnsi="Times New Roman"/>
          <w:sz w:val="28"/>
          <w:szCs w:val="28"/>
          <w:lang w:eastAsia="zh-CN"/>
        </w:rPr>
        <w:t xml:space="preserve"> 特异性引物/探针、Robustart Premix OT plus‑UNG (Probe qPCR)、</w:t>
      </w:r>
      <w:r>
        <w:rPr>
          <w:rFonts w:hint="eastAsia" w:ascii="Times New Roman" w:hAnsi="Times New Roman"/>
          <w:color w:val="202020"/>
          <w:sz w:val="28"/>
          <w:szCs w:val="28"/>
        </w:rPr>
        <w:t>BT</w:t>
      </w:r>
      <w:r>
        <w:rPr>
          <w:rFonts w:hint="eastAsia" w:ascii="Times New Roman" w:hAnsi="Times New Roman"/>
          <w:sz w:val="28"/>
          <w:szCs w:val="28"/>
          <w:lang w:eastAsia="zh-CN"/>
        </w:rPr>
        <w:t xml:space="preserve"> 定量标准品及无模板对照。通过标准品建立标准曲线，并依据样本 Ct 值计算相应拷贝数。</w:t>
      </w:r>
    </w:p>
    <w:p w14:paraId="502DA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/>
          <w:sz w:val="28"/>
          <w:szCs w:val="28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680" w:gutter="0"/>
          <w:pgNumType w:fmt="decimal"/>
          <w:cols w:space="425" w:num="1"/>
          <w:docGrid w:linePitch="312" w:charSpace="0"/>
        </w:sectPr>
      </w:pPr>
    </w:p>
    <w:p w14:paraId="6E90E3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/>
          <w:sz w:val="28"/>
          <w:szCs w:val="28"/>
          <w:lang w:eastAsia="zh-CN"/>
        </w:rPr>
      </w:pPr>
    </w:p>
    <w:p w14:paraId="106C6A4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样本要求</w:t>
      </w:r>
    </w:p>
    <w:p w14:paraId="133F8A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ascii="Times New Roman" w:hAnsi="Times New Roman"/>
          <w:color w:val="202020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适用于粪便、肠道内容物、培养物或其他科研样本提取的总 DNA。建议使用适合复杂样本的 DNA 提取方法，并设置提取空白对照。DNA 应无明显 PCR 抑制物；浓度过高时可用无核酸酶水稀释后检测。不同样本类型之间不宜直接比较未经归一化的结果。</w:t>
      </w:r>
    </w:p>
    <w:p w14:paraId="43A77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/>
          <w:color w:val="202020"/>
          <w:sz w:val="28"/>
          <w:szCs w:val="28"/>
          <w:lang w:eastAsia="zh-CN"/>
        </w:rPr>
      </w:pPr>
    </w:p>
    <w:p w14:paraId="20009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六、使用前注意事项</w:t>
      </w:r>
    </w:p>
    <w:p w14:paraId="7BBC8E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1.实验应划分试剂准备区、样本处理区和扩增分析区，并使用带滤芯枪头，防止气溶胶污染。</w:t>
      </w:r>
    </w:p>
    <w:p w14:paraId="2BCEF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2.标准品为高拷贝核酸材料，应最后开盖、单独加样；如发生泄漏，应立即进行核酸去污染处理。</w:t>
      </w:r>
    </w:p>
    <w:p w14:paraId="1CFA13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3.反应液应在冰上操作，避免强光照射探针。所有组分充分解冻、混匀并短暂离心后使用。</w:t>
      </w:r>
    </w:p>
    <w:p w14:paraId="784A5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4.样本基质、提取效率及 PCR 抑制均会影响定量结果。需要严谨比较时，建议设置外源过程控制或内参。</w:t>
      </w:r>
    </w:p>
    <w:p w14:paraId="5DA93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  <w:r>
        <w:rPr>
          <w:rFonts w:hint="eastAsia" w:ascii="Times New Roman" w:hAnsi="Times New Roman" w:eastAsiaTheme="minorEastAsia" w:cstheme="minorEastAsia"/>
          <w:sz w:val="28"/>
          <w:szCs w:val="28"/>
        </w:rPr>
        <w:t>5.为了您的安全和健康，请穿实验服、佩戴手套及必要的眼面部防护，并按实验室规范处置废弃物。</w:t>
      </w:r>
    </w:p>
    <w:p w14:paraId="6FDB4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Theme="minorEastAsia" w:cstheme="minorEastAsia"/>
          <w:sz w:val="28"/>
          <w:szCs w:val="28"/>
        </w:rPr>
      </w:pPr>
    </w:p>
    <w:p w14:paraId="2394F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七、反应体系</w:t>
      </w:r>
    </w:p>
    <w:tbl>
      <w:tblPr>
        <w:tblStyle w:val="7"/>
        <w:tblW w:w="8522" w:type="dxa"/>
        <w:jc w:val="center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4"/>
        <w:gridCol w:w="1894"/>
        <w:gridCol w:w="3254"/>
      </w:tblGrid>
      <w:tr w14:paraId="7057073F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74" w:type="dxa"/>
            <w:tcBorders>
              <w:bottom w:val="single" w:color="000000" w:sz="4" w:space="0"/>
            </w:tcBorders>
            <w:shd w:val="clear" w:color="auto" w:fill="auto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CB55F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组分</w:t>
            </w:r>
          </w:p>
        </w:tc>
        <w:tc>
          <w:tcPr>
            <w:tcW w:w="1894" w:type="dxa"/>
            <w:tcBorders>
              <w:bottom w:val="single" w:color="000000" w:sz="4" w:space="0"/>
            </w:tcBorders>
            <w:shd w:val="clear" w:color="auto" w:fill="auto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AE65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体积（μL）</w:t>
            </w:r>
          </w:p>
        </w:tc>
        <w:tc>
          <w:tcPr>
            <w:tcW w:w="3254" w:type="dxa"/>
            <w:tcBorders>
              <w:bottom w:val="single" w:color="000000" w:sz="4" w:space="0"/>
            </w:tcBorders>
            <w:shd w:val="clear" w:color="auto" w:fill="auto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8A57C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终浓度/说明</w:t>
            </w:r>
          </w:p>
        </w:tc>
      </w:tr>
      <w:tr w14:paraId="721CF17D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7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BDE96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2× Probe qPCR Mix</w:t>
            </w:r>
          </w:p>
        </w:tc>
        <w:tc>
          <w:tcPr>
            <w:tcW w:w="189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B110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10.0</w:t>
            </w:r>
          </w:p>
        </w:tc>
        <w:tc>
          <w:tcPr>
            <w:tcW w:w="325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CE36E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1×</w:t>
            </w:r>
          </w:p>
        </w:tc>
      </w:tr>
      <w:tr w14:paraId="1B89C56C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7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6943B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202020"/>
                <w:sz w:val="28"/>
                <w:szCs w:val="28"/>
              </w:rPr>
              <w:t>BT</w:t>
            </w:r>
            <w:r>
              <w:rPr>
                <w:rFonts w:ascii="Times New Roman" w:hAnsi="Times New Roman"/>
                <w:color w:val="202020"/>
                <w:sz w:val="28"/>
                <w:szCs w:val="28"/>
              </w:rPr>
              <w:t xml:space="preserve"> Primer &amp; Probe Mix</w:t>
            </w:r>
          </w:p>
        </w:tc>
        <w:tc>
          <w:tcPr>
            <w:tcW w:w="189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58A9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202020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25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6255F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-</w:t>
            </w:r>
          </w:p>
        </w:tc>
      </w:tr>
      <w:tr w14:paraId="3EEBDC55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7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67730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模板/标准品/NTC</w:t>
            </w:r>
          </w:p>
        </w:tc>
        <w:tc>
          <w:tcPr>
            <w:tcW w:w="189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B4FF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2.0</w:t>
            </w:r>
          </w:p>
        </w:tc>
        <w:tc>
          <w:tcPr>
            <w:tcW w:w="3254" w:type="dxa"/>
            <w:noWrap w:val="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CC0BC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  <w:lang w:eastAsia="zh-CN"/>
              </w:rPr>
              <w:t>样本 DNA 或对应对照</w:t>
            </w:r>
          </w:p>
        </w:tc>
      </w:tr>
    </w:tbl>
    <w:p w14:paraId="05ADF5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/>
          <w:b/>
          <w:bCs/>
          <w:color w:val="4B4B4B"/>
          <w:sz w:val="18"/>
          <w:szCs w:val="18"/>
          <w:lang w:eastAsia="zh-CN"/>
        </w:rPr>
      </w:pPr>
      <w:r>
        <w:rPr>
          <w:rFonts w:ascii="Times New Roman" w:hAnsi="Times New Roman"/>
          <w:b/>
          <w:bCs/>
          <w:color w:val="4B4B4B"/>
          <w:sz w:val="18"/>
          <w:szCs w:val="18"/>
          <w:lang w:eastAsia="zh-CN"/>
        </w:rPr>
        <w:t>【注】建议每个样本及标准品至少设置 2 个复孔。配制反应液时按实际孔数增加约 10% 余量。</w:t>
      </w:r>
    </w:p>
    <w:p w14:paraId="6D5E05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/>
          <w:b/>
          <w:bCs/>
          <w:color w:val="4B4B4B"/>
          <w:sz w:val="18"/>
          <w:szCs w:val="18"/>
          <w:lang w:val="en-US" w:eastAsia="zh-CN"/>
        </w:rPr>
      </w:pPr>
    </w:p>
    <w:p w14:paraId="058D4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</w:p>
    <w:p w14:paraId="54CA3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八、参考扩增程序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1"/>
        <w:gridCol w:w="974"/>
        <w:gridCol w:w="1127"/>
        <w:gridCol w:w="1715"/>
        <w:gridCol w:w="1715"/>
      </w:tblGrid>
      <w:tr w14:paraId="1563F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3BC76228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步骤</w:t>
            </w:r>
          </w:p>
        </w:tc>
        <w:tc>
          <w:tcPr>
            <w:tcW w:w="974" w:type="dxa"/>
            <w:noWrap/>
          </w:tcPr>
          <w:p w14:paraId="6B0D61F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温度</w:t>
            </w:r>
          </w:p>
        </w:tc>
        <w:tc>
          <w:tcPr>
            <w:tcW w:w="1127" w:type="dxa"/>
            <w:noWrap/>
          </w:tcPr>
          <w:p w14:paraId="7B73F481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1715" w:type="dxa"/>
            <w:noWrap/>
          </w:tcPr>
          <w:p w14:paraId="2A77E67C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循环数</w:t>
            </w:r>
          </w:p>
        </w:tc>
        <w:tc>
          <w:tcPr>
            <w:tcW w:w="1715" w:type="dxa"/>
            <w:noWrap/>
          </w:tcPr>
          <w:p w14:paraId="54D1F2FF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荧光采集</w:t>
            </w:r>
          </w:p>
        </w:tc>
      </w:tr>
      <w:tr w14:paraId="22E5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3676188A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污染消化</w:t>
            </w:r>
          </w:p>
        </w:tc>
        <w:tc>
          <w:tcPr>
            <w:tcW w:w="974" w:type="dxa"/>
            <w:noWrap/>
          </w:tcPr>
          <w:p w14:paraId="6B982944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37℃</w:t>
            </w:r>
          </w:p>
        </w:tc>
        <w:tc>
          <w:tcPr>
            <w:tcW w:w="1127" w:type="dxa"/>
            <w:noWrap/>
          </w:tcPr>
          <w:p w14:paraId="47740C51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2min</w:t>
            </w:r>
          </w:p>
        </w:tc>
        <w:tc>
          <w:tcPr>
            <w:tcW w:w="1715" w:type="dxa"/>
            <w:noWrap/>
          </w:tcPr>
          <w:p w14:paraId="4A094795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715" w:type="dxa"/>
          </w:tcPr>
          <w:p w14:paraId="610BF5E5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/</w:t>
            </w:r>
          </w:p>
        </w:tc>
      </w:tr>
      <w:tr w14:paraId="3040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4ECB2A13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预变性</w:t>
            </w:r>
          </w:p>
        </w:tc>
        <w:tc>
          <w:tcPr>
            <w:tcW w:w="974" w:type="dxa"/>
            <w:noWrap/>
          </w:tcPr>
          <w:p w14:paraId="631A0021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95℃</w:t>
            </w:r>
          </w:p>
        </w:tc>
        <w:tc>
          <w:tcPr>
            <w:tcW w:w="1127" w:type="dxa"/>
            <w:noWrap/>
          </w:tcPr>
          <w:p w14:paraId="7783DB09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30s</w:t>
            </w:r>
          </w:p>
        </w:tc>
        <w:tc>
          <w:tcPr>
            <w:tcW w:w="1715" w:type="dxa"/>
            <w:noWrap/>
          </w:tcPr>
          <w:p w14:paraId="1876DB70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1715" w:type="dxa"/>
          </w:tcPr>
          <w:p w14:paraId="22CD1235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/</w:t>
            </w:r>
          </w:p>
        </w:tc>
      </w:tr>
      <w:tr w14:paraId="59F5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2E413493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变性</w:t>
            </w:r>
          </w:p>
        </w:tc>
        <w:tc>
          <w:tcPr>
            <w:tcW w:w="974" w:type="dxa"/>
            <w:noWrap/>
          </w:tcPr>
          <w:p w14:paraId="168AB67C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95℃</w:t>
            </w:r>
          </w:p>
        </w:tc>
        <w:tc>
          <w:tcPr>
            <w:tcW w:w="1127" w:type="dxa"/>
            <w:noWrap/>
          </w:tcPr>
          <w:p w14:paraId="628766AC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10s</w:t>
            </w:r>
          </w:p>
        </w:tc>
        <w:tc>
          <w:tcPr>
            <w:tcW w:w="1715" w:type="dxa"/>
            <w:vMerge w:val="restart"/>
            <w:noWrap/>
            <w:vAlign w:val="center"/>
          </w:tcPr>
          <w:p w14:paraId="7F7AB417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1715" w:type="dxa"/>
            <w:vMerge w:val="restart"/>
            <w:vAlign w:val="center"/>
          </w:tcPr>
          <w:p w14:paraId="215BCDD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/</w:t>
            </w:r>
          </w:p>
        </w:tc>
      </w:tr>
      <w:tr w14:paraId="1429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3C237AB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退火</w:t>
            </w:r>
          </w:p>
        </w:tc>
        <w:tc>
          <w:tcPr>
            <w:tcW w:w="974" w:type="dxa"/>
            <w:noWrap/>
          </w:tcPr>
          <w:p w14:paraId="382736C3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55℃</w:t>
            </w:r>
          </w:p>
        </w:tc>
        <w:tc>
          <w:tcPr>
            <w:tcW w:w="1127" w:type="dxa"/>
            <w:noWrap/>
          </w:tcPr>
          <w:p w14:paraId="536CBBD8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20s</w:t>
            </w:r>
          </w:p>
        </w:tc>
        <w:tc>
          <w:tcPr>
            <w:tcW w:w="1715" w:type="dxa"/>
            <w:vMerge w:val="continue"/>
            <w:vAlign w:val="center"/>
          </w:tcPr>
          <w:p w14:paraId="0D6F219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715" w:type="dxa"/>
            <w:vMerge w:val="continue"/>
            <w:vAlign w:val="center"/>
          </w:tcPr>
          <w:p w14:paraId="7B695D32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</w:tr>
      <w:tr w14:paraId="7266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0F83E8D0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延伸</w:t>
            </w:r>
          </w:p>
        </w:tc>
        <w:tc>
          <w:tcPr>
            <w:tcW w:w="974" w:type="dxa"/>
            <w:noWrap/>
          </w:tcPr>
          <w:p w14:paraId="52871F0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72℃</w:t>
            </w:r>
          </w:p>
        </w:tc>
        <w:tc>
          <w:tcPr>
            <w:tcW w:w="1127" w:type="dxa"/>
            <w:noWrap/>
          </w:tcPr>
          <w:p w14:paraId="24BDEA2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20s</w:t>
            </w:r>
          </w:p>
        </w:tc>
        <w:tc>
          <w:tcPr>
            <w:tcW w:w="1715" w:type="dxa"/>
            <w:vMerge w:val="continue"/>
            <w:vAlign w:val="center"/>
          </w:tcPr>
          <w:p w14:paraId="24CC536D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  <w:tc>
          <w:tcPr>
            <w:tcW w:w="1715" w:type="dxa"/>
            <w:vMerge w:val="continue"/>
            <w:vAlign w:val="center"/>
          </w:tcPr>
          <w:p w14:paraId="4DA94919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</w:p>
        </w:tc>
      </w:tr>
      <w:tr w14:paraId="783B6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55347A46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变性</w:t>
            </w:r>
          </w:p>
        </w:tc>
        <w:tc>
          <w:tcPr>
            <w:tcW w:w="974" w:type="dxa"/>
            <w:noWrap/>
          </w:tcPr>
          <w:p w14:paraId="5943A7C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95℃</w:t>
            </w:r>
          </w:p>
        </w:tc>
        <w:tc>
          <w:tcPr>
            <w:tcW w:w="1127" w:type="dxa"/>
            <w:noWrap/>
          </w:tcPr>
          <w:p w14:paraId="13881054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10s</w:t>
            </w:r>
          </w:p>
        </w:tc>
        <w:tc>
          <w:tcPr>
            <w:tcW w:w="1715" w:type="dxa"/>
            <w:vMerge w:val="restart"/>
            <w:noWrap/>
            <w:vAlign w:val="center"/>
          </w:tcPr>
          <w:p w14:paraId="65E71F3C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40</w:t>
            </w:r>
          </w:p>
        </w:tc>
        <w:tc>
          <w:tcPr>
            <w:tcW w:w="1715" w:type="dxa"/>
            <w:vMerge w:val="restart"/>
            <w:vAlign w:val="center"/>
          </w:tcPr>
          <w:p w14:paraId="6EA62DE4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</w:rPr>
              <w:t>采集</w:t>
            </w:r>
          </w:p>
        </w:tc>
      </w:tr>
      <w:tr w14:paraId="460C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91" w:type="dxa"/>
            <w:noWrap/>
          </w:tcPr>
          <w:p w14:paraId="1B371BD5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退火、延伸及检测荧光</w:t>
            </w:r>
          </w:p>
        </w:tc>
        <w:tc>
          <w:tcPr>
            <w:tcW w:w="974" w:type="dxa"/>
            <w:noWrap/>
          </w:tcPr>
          <w:p w14:paraId="2C337CD8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60℃</w:t>
            </w:r>
          </w:p>
        </w:tc>
        <w:tc>
          <w:tcPr>
            <w:tcW w:w="1127" w:type="dxa"/>
            <w:noWrap/>
          </w:tcPr>
          <w:p w14:paraId="4E49225D">
            <w:pPr>
              <w:widowControl w:val="0"/>
              <w:spacing w:line="240" w:lineRule="auto"/>
              <w:jc w:val="both"/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sz w:val="28"/>
                <w:szCs w:val="28"/>
                <w:lang w:eastAsia="zh-CN"/>
              </w:rPr>
              <w:t>30s</w:t>
            </w:r>
          </w:p>
        </w:tc>
        <w:tc>
          <w:tcPr>
            <w:tcW w:w="1715" w:type="dxa"/>
            <w:vMerge w:val="continue"/>
          </w:tcPr>
          <w:p w14:paraId="66B836F4">
            <w:pPr>
              <w:widowControl w:val="0"/>
              <w:spacing w:line="240" w:lineRule="auto"/>
              <w:jc w:val="both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1715" w:type="dxa"/>
            <w:vMerge w:val="continue"/>
          </w:tcPr>
          <w:p w14:paraId="4421216E">
            <w:pPr>
              <w:widowControl w:val="0"/>
              <w:spacing w:line="240" w:lineRule="auto"/>
              <w:jc w:val="both"/>
              <w:rPr>
                <w:rFonts w:ascii="Times New Roman" w:hAnsi="Times New Roman" w:eastAsia="宋体"/>
                <w:lang w:eastAsia="zh-CN"/>
              </w:rPr>
            </w:pPr>
          </w:p>
        </w:tc>
      </w:tr>
    </w:tbl>
    <w:p w14:paraId="7639C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/>
          <w:b/>
          <w:bCs/>
          <w:color w:val="4B4B4B"/>
          <w:sz w:val="16"/>
          <w:lang w:eastAsia="zh-CN"/>
        </w:rPr>
      </w:pPr>
    </w:p>
    <w:tbl>
      <w:tblPr>
        <w:tblStyle w:val="7"/>
        <w:tblW w:w="8568" w:type="dxa"/>
        <w:tblInd w:w="-10" w:type="dxa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393"/>
        <w:gridCol w:w="1592"/>
        <w:gridCol w:w="1493"/>
        <w:gridCol w:w="1990"/>
      </w:tblGrid>
      <w:tr w14:paraId="31371200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100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F1D5B4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sz w:val="28"/>
                <w:szCs w:val="28"/>
                <w:highlight w:val="none"/>
              </w:rPr>
              <w:t>循</w:t>
            </w: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环步骤</w:t>
            </w:r>
          </w:p>
        </w:tc>
        <w:tc>
          <w:tcPr>
            <w:tcW w:w="1393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A0544D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温度</w:t>
            </w:r>
          </w:p>
        </w:tc>
        <w:tc>
          <w:tcPr>
            <w:tcW w:w="1592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CED5D4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493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EE0746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循环数</w:t>
            </w:r>
          </w:p>
        </w:tc>
        <w:tc>
          <w:tcPr>
            <w:tcW w:w="1990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99D96E">
            <w:pPr>
              <w:spacing w:after="0" w:line="240" w:lineRule="auto"/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/>
                <w:color w:val="auto"/>
                <w:sz w:val="28"/>
                <w:szCs w:val="28"/>
                <w:highlight w:val="none"/>
              </w:rPr>
              <w:t>采集荧光</w:t>
            </w:r>
          </w:p>
        </w:tc>
      </w:tr>
      <w:tr w14:paraId="41A95324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1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BA56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预变性</w:t>
            </w:r>
          </w:p>
        </w:tc>
        <w:tc>
          <w:tcPr>
            <w:tcW w:w="13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A697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95℃</w:t>
            </w:r>
          </w:p>
        </w:tc>
        <w:tc>
          <w:tcPr>
            <w:tcW w:w="1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FC86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3 min</w:t>
            </w:r>
          </w:p>
        </w:tc>
        <w:tc>
          <w:tcPr>
            <w:tcW w:w="14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C043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</w:t>
            </w:r>
          </w:p>
        </w:tc>
        <w:tc>
          <w:tcPr>
            <w:tcW w:w="199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A9E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否</w:t>
            </w:r>
          </w:p>
        </w:tc>
      </w:tr>
      <w:tr w14:paraId="5303A9AB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1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E75D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变性</w:t>
            </w:r>
          </w:p>
        </w:tc>
        <w:tc>
          <w:tcPr>
            <w:tcW w:w="13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0748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95℃</w:t>
            </w:r>
          </w:p>
        </w:tc>
        <w:tc>
          <w:tcPr>
            <w:tcW w:w="1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626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10 sec</w:t>
            </w:r>
          </w:p>
        </w:tc>
        <w:tc>
          <w:tcPr>
            <w:tcW w:w="14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D0FB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40</w:t>
            </w:r>
          </w:p>
        </w:tc>
        <w:tc>
          <w:tcPr>
            <w:tcW w:w="199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4534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否</w:t>
            </w:r>
          </w:p>
        </w:tc>
      </w:tr>
      <w:tr w14:paraId="7C0B010C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1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90DB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退火/延伸</w:t>
            </w:r>
          </w:p>
        </w:tc>
        <w:tc>
          <w:tcPr>
            <w:tcW w:w="13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421A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60℃</w:t>
            </w:r>
          </w:p>
        </w:tc>
        <w:tc>
          <w:tcPr>
            <w:tcW w:w="1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123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30 sec</w:t>
            </w:r>
          </w:p>
        </w:tc>
        <w:tc>
          <w:tcPr>
            <w:tcW w:w="149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3D5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40</w:t>
            </w:r>
          </w:p>
        </w:tc>
        <w:tc>
          <w:tcPr>
            <w:tcW w:w="199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289C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202020"/>
                <w:sz w:val="28"/>
                <w:szCs w:val="28"/>
              </w:rPr>
              <w:t>是</w:t>
            </w:r>
          </w:p>
        </w:tc>
      </w:tr>
    </w:tbl>
    <w:p w14:paraId="6DFE49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/>
          <w:b/>
          <w:bCs/>
          <w:color w:val="4B4B4B"/>
          <w:sz w:val="28"/>
          <w:szCs w:val="28"/>
          <w:lang w:val="en-US" w:eastAsia="zh-CN"/>
        </w:rPr>
      </w:pPr>
      <w:r>
        <w:rPr>
          <w:rFonts w:hint="default" w:ascii="Times New Roman" w:hAnsi="Times New Roman"/>
          <w:b/>
          <w:bCs/>
          <w:color w:val="4B4B4B"/>
          <w:sz w:val="18"/>
          <w:szCs w:val="18"/>
          <w:lang w:val="en-US" w:eastAsia="zh-CN"/>
        </w:rPr>
        <w:t>【注】荧光通道按探针标记选择（常用 FAM 通道）。如仪器要求，应设置 passive reference 为 None 或按所用 Mix 说明设置。</w:t>
      </w:r>
    </w:p>
    <w:p w14:paraId="001E22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九、定量分析</w:t>
      </w:r>
    </w:p>
    <w:p w14:paraId="1F16EED1">
      <w:pPr>
        <w:spacing w:line="283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1.将 5 个梯度标准品与待测样本同时扩增，以标准品 log10(拷贝数/反应) 为横坐标、Ct 值为纵坐标建立标准曲线。</w:t>
      </w:r>
    </w:p>
    <w:p w14:paraId="4DD491A8">
      <w:pPr>
        <w:spacing w:line="283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2.建议标准曲线相关系数 R² ≥ 0.98，扩增效率处于 90%～110%；复孔 Ct 差通常应 ≤ 0.5。</w:t>
      </w:r>
    </w:p>
    <w:p w14:paraId="6EE4B810">
      <w:pPr>
        <w:spacing w:line="283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3.仪器软件依据标准曲线给出样本拷贝数。换算至原始样本时，应结合洗脱体积、反应加样体积、提取起始量及稀释倍数计算。</w:t>
      </w:r>
    </w:p>
    <w:p w14:paraId="072C175F">
      <w:pPr>
        <w:spacing w:line="283" w:lineRule="auto"/>
        <w:rPr>
          <w:rFonts w:ascii="Times New Roman" w:hAnsi="Times New Roman"/>
          <w:color w:val="202020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  <w:lang w:eastAsia="zh-CN"/>
        </w:rPr>
        <w:t>4.结果可按 copies/g、copies/mL，或经总细菌量、DNA 质量等归一化后报告。跨批次比较时应采用一致的提取与分析流程。</w:t>
      </w:r>
    </w:p>
    <w:p w14:paraId="6DF99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十、结果判定与质量控制</w:t>
      </w:r>
    </w:p>
    <w:tbl>
      <w:tblPr>
        <w:tblStyle w:val="7"/>
        <w:tblW w:w="8738" w:type="dxa"/>
        <w:tblInd w:w="100" w:type="dxa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3518"/>
        <w:gridCol w:w="4277"/>
      </w:tblGrid>
      <w:tr w14:paraId="4F815431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AF420E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02020"/>
                <w:sz w:val="24"/>
                <w:szCs w:val="24"/>
              </w:rPr>
              <w:t>项目</w:t>
            </w:r>
          </w:p>
        </w:tc>
        <w:tc>
          <w:tcPr>
            <w:tcW w:w="3518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85D15A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02020"/>
                <w:sz w:val="24"/>
                <w:szCs w:val="24"/>
              </w:rPr>
              <w:t>合格标准</w:t>
            </w:r>
          </w:p>
        </w:tc>
        <w:tc>
          <w:tcPr>
            <w:tcW w:w="4277" w:type="dxa"/>
            <w:tcBorders>
              <w:bottom w:val="single" w:color="000000" w:sz="4" w:space="0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BD415D">
            <w:pPr>
              <w:spacing w:after="0" w:line="240" w:lineRule="auto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202020"/>
                <w:sz w:val="24"/>
                <w:szCs w:val="24"/>
              </w:rPr>
              <w:t>处理建议</w:t>
            </w:r>
          </w:p>
        </w:tc>
      </w:tr>
      <w:tr w14:paraId="5EB4828C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87B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</w:rPr>
              <w:t>NTC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E87F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无典型扩增曲线；Ct 未检出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6C2A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若出现稳定扩增，排查污染并重做</w:t>
            </w:r>
          </w:p>
        </w:tc>
      </w:tr>
      <w:tr w14:paraId="415E7CC9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01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</w:rPr>
              <w:t>标准品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076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扩增曲线呈规则梯度；R² ≥ 0.98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28C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不合格时检查配液、稀释与仪器设置</w:t>
            </w:r>
          </w:p>
        </w:tc>
      </w:tr>
      <w:tr w14:paraId="0E06E2D4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2C50C7">
            <w:pPr>
              <w:spacing w:after="0" w:line="240" w:lineRule="auto"/>
              <w:rPr>
                <w:rFonts w:hint="eastAsia" w:ascii="Times New Roman" w:hAnsi="Times New Roman" w:eastAsia="宋体"/>
                <w:color w:val="2020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8B3BA8">
            <w:pPr>
              <w:spacing w:after="0" w:line="240" w:lineRule="auto"/>
              <w:rPr>
                <w:rFonts w:hint="default" w:ascii="Times New Roman" w:hAnsi="Times New Roman"/>
                <w:color w:val="2020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4"/>
                <w:szCs w:val="24"/>
                <w:lang w:val="en-US" w:eastAsia="zh-CN"/>
              </w:rPr>
              <w:t>合格标准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99B4D9">
            <w:pPr>
              <w:spacing w:after="0" w:line="240" w:lineRule="auto"/>
              <w:rPr>
                <w:rFonts w:hint="default" w:ascii="Times New Roman" w:hAnsi="Times New Roman"/>
                <w:color w:val="20202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202020"/>
                <w:sz w:val="24"/>
                <w:szCs w:val="24"/>
                <w:lang w:val="en-US" w:eastAsia="zh-CN"/>
              </w:rPr>
              <w:t>处理意见</w:t>
            </w:r>
          </w:p>
        </w:tc>
      </w:tr>
      <w:tr w14:paraId="53201605">
        <w:tblPrEx>
          <w:tblBorders>
            <w:top w:val="single" w:color="000000" w:sz="6" w:space="0"/>
            <w:left w:val="none" w:color="auto" w:sz="0" w:space="0"/>
            <w:bottom w:val="single" w:color="000000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E5F3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</w:rPr>
              <w:t>样本</w:t>
            </w:r>
          </w:p>
        </w:tc>
        <w:tc>
          <w:tcPr>
            <w:tcW w:w="351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C8B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Ct 位于标准曲线有效范围内</w:t>
            </w:r>
          </w:p>
        </w:tc>
        <w:tc>
          <w:tcPr>
            <w:tcW w:w="427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B8E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202020"/>
                <w:sz w:val="24"/>
                <w:szCs w:val="24"/>
                <w:lang w:eastAsia="zh-CN"/>
              </w:rPr>
              <w:t>高于上限时稀释；低于下限时报告低于定量限</w:t>
            </w:r>
          </w:p>
        </w:tc>
      </w:tr>
    </w:tbl>
    <w:p w14:paraId="514784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十一、适用机型</w:t>
      </w:r>
    </w:p>
    <w:p w14:paraId="7097C7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/>
          <w:color w:val="202020"/>
          <w:sz w:val="28"/>
          <w:szCs w:val="28"/>
          <w:lang w:eastAsia="zh-CN"/>
        </w:rPr>
      </w:pPr>
      <w:r>
        <w:rPr>
          <w:rFonts w:ascii="Times New Roman" w:hAnsi="Times New Roman"/>
          <w:color w:val="202020"/>
          <w:sz w:val="28"/>
          <w:szCs w:val="28"/>
        </w:rPr>
        <w:t>适用于具备相应荧光通道的常规实时荧光定量 PCR 仪，例如 Applied Biosystems 7500/QuantStudio 系列、Bio-Rad CFX96/CFX384、Roche LightCycler 480/96、Qiagen Rotor-Gene Q 等。</w:t>
      </w:r>
      <w:r>
        <w:rPr>
          <w:rFonts w:ascii="Times New Roman" w:hAnsi="Times New Roman"/>
          <w:color w:val="202020"/>
          <w:sz w:val="28"/>
          <w:szCs w:val="28"/>
          <w:lang w:eastAsia="zh-CN"/>
        </w:rPr>
        <w:t>使用前请确认反应体积、耗材及荧光通道与仪器兼容。</w:t>
      </w:r>
    </w:p>
    <w:p w14:paraId="0743FD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十二、</w:t>
      </w:r>
      <w:r>
        <w:rPr>
          <w:rFonts w:hint="default" w:ascii="Times New Roman" w:hAnsi="Times New Roman" w:eastAsiaTheme="minorEastAsia" w:cstheme="minorEastAsia"/>
          <w:b/>
          <w:bCs/>
          <w:color w:val="31859C"/>
          <w:sz w:val="30"/>
          <w:szCs w:val="30"/>
          <w:lang w:val="en-US" w:eastAsia="zh-CN"/>
        </w:rPr>
        <w:t>重要说明</w:t>
      </w:r>
    </w:p>
    <w:p w14:paraId="333976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Times New Roman" w:hAnsi="Times New Roman"/>
          <w:b/>
          <w:bCs/>
          <w:color w:val="202020"/>
          <w:sz w:val="28"/>
          <w:szCs w:val="28"/>
          <w:lang w:val="en-US" w:eastAsia="zh-CN"/>
        </w:rPr>
      </w:pPr>
      <w:r>
        <w:rPr>
          <w:rFonts w:hint="default" w:ascii="Times New Roman" w:hAnsi="Times New Roman"/>
          <w:b/>
          <w:bCs/>
          <w:color w:val="202020"/>
          <w:sz w:val="28"/>
          <w:szCs w:val="28"/>
          <w:lang w:val="en-US" w:eastAsia="zh-CN"/>
        </w:rPr>
        <w:t>本说明书为按参考版式制作的科研产品技术模板。产品编号、装量、有效期、靶序列、定量范围、检出限及性能指标须由实际生产方完成设计验证后确认，并以最终标签和质量文件为准。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680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18960">
    <w:pPr>
      <w:pStyle w:val="4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1993900</wp:posOffset>
              </wp:positionH>
              <wp:positionV relativeFrom="paragraph">
                <wp:posOffset>-259715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A65DD2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7pt;margin-top:-20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ExAo9gAAAAL&#10;AQAADwAAAGRycy9kb3ducmV2LnhtbE2PzU7DMBCE70i8g7VI3Fo7aVQgxKlERTgi0XDg6MZLEvBP&#10;ZLtpeHuWEz3Ozmj2m2q3WMNmDHH0TkK2FsDQdV6Prpfw3jare2AxKaeV8Q4l/GCEXX19ValS+7N7&#10;w/mQekYlLpZKwpDSVHIeuwGtims/oSPv0werEsnQcx3Umcqt4bkQW27V6OjDoCbcD9h9H05Wwr5p&#10;2zBjDOYDX5rN1+tTgc+LlLc3mXgElnBJ/2H4wyd0qInp6E9OR2YkbLKCtiQJq0I8AKPEVuR0OUrI&#10;i7sMeF3xyw31L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ExAo9gAAAAL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A65DD2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楷体" w:hAnsi="楷体" w:eastAsia="楷体" w:cs="楷体"/>
      </w:rPr>
      <w:t xml:space="preserve">宁波明舟生物科技有限公司     </w:t>
    </w:r>
    <w:r>
      <w:rPr>
        <w:rFonts w:hint="eastAsia" w:ascii="楷体" w:hAnsi="楷体" w:eastAsia="楷体" w:cs="楷体"/>
        <w:lang w:val="en-US" w:eastAsia="zh-CN"/>
      </w:rPr>
      <w:t xml:space="preserve">   </w:t>
    </w:r>
    <w:r>
      <w:rPr>
        <w:rFonts w:hint="eastAsia" w:ascii="楷体" w:hAnsi="楷体" w:eastAsia="楷体" w:cs="楷体"/>
      </w:rPr>
      <w:t xml:space="preserve"> 电话：0574-87157013     网址：</w:t>
    </w:r>
    <w:r>
      <w:fldChar w:fldCharType="begin"/>
    </w:r>
    <w:r>
      <w:instrText xml:space="preserve"> HYPERLINK "https://www.mingzhoubio.com/" </w:instrText>
    </w:r>
    <w:r>
      <w:fldChar w:fldCharType="separate"/>
    </w:r>
    <w:r>
      <w:rPr>
        <w:rStyle w:val="11"/>
        <w:rFonts w:hint="eastAsia" w:ascii="楷体" w:hAnsi="楷体" w:eastAsia="楷体" w:cs="楷体"/>
      </w:rPr>
      <w:t>https://www.mingzho</w:t>
    </w:r>
    <w:r>
      <w:rPr>
        <w:rStyle w:val="11"/>
        <w:rFonts w:hint="eastAsia"/>
      </w:rPr>
      <w:t>u</w:t>
    </w:r>
    <w:r>
      <w:rPr>
        <w:rStyle w:val="11"/>
        <w:rFonts w:hint="eastAsia" w:ascii="楷体" w:hAnsi="楷体" w:eastAsia="楷体" w:cs="楷体"/>
      </w:rPr>
      <w:t>bio.com/</w:t>
    </w:r>
    <w:r>
      <w:rPr>
        <w:rStyle w:val="11"/>
        <w:rFonts w:hint="eastAsia" w:ascii="楷体" w:hAnsi="楷体" w:eastAsia="楷体" w:cs="楷体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4C1E5">
    <w:pPr>
      <w:pStyle w:val="4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1993900</wp:posOffset>
              </wp:positionH>
              <wp:positionV relativeFrom="paragraph">
                <wp:posOffset>-259715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4CCFF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7pt;margin-top:-20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ExAo9gAAAAL&#10;AQAADwAAAGRycy9kb3ducmV2LnhtbE2PzU7DMBCE70i8g7VI3Fo7aVQgxKlERTgi0XDg6MZLEvBP&#10;ZLtpeHuWEz3Ozmj2m2q3WMNmDHH0TkK2FsDQdV6Prpfw3jare2AxKaeV8Q4l/GCEXX19ValS+7N7&#10;w/mQekYlLpZKwpDSVHIeuwGtims/oSPv0werEsnQcx3Umcqt4bkQW27V6OjDoCbcD9h9H05Wwr5p&#10;2zBjDOYDX5rN1+tTgc+LlLc3mXgElnBJ/2H4wyd0qInp6E9OR2YkbLKCtiQJq0I8AKPEVuR0OUrI&#10;i7sMeF3xyw31L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ExAo9gAAAAL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4CCFF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楷体" w:hAnsi="楷体" w:eastAsia="楷体" w:cs="楷体"/>
      </w:rPr>
      <w:t xml:space="preserve">宁波明舟生物科技有限公司     </w:t>
    </w:r>
    <w:r>
      <w:rPr>
        <w:rFonts w:hint="eastAsia" w:ascii="楷体" w:hAnsi="楷体" w:eastAsia="楷体" w:cs="楷体"/>
        <w:lang w:val="en-US" w:eastAsia="zh-CN"/>
      </w:rPr>
      <w:t xml:space="preserve">   </w:t>
    </w:r>
    <w:r>
      <w:rPr>
        <w:rFonts w:hint="eastAsia" w:ascii="楷体" w:hAnsi="楷体" w:eastAsia="楷体" w:cs="楷体"/>
      </w:rPr>
      <w:t xml:space="preserve"> 电话：0574-87157013     网址：</w:t>
    </w:r>
    <w:r>
      <w:fldChar w:fldCharType="begin"/>
    </w:r>
    <w:r>
      <w:instrText xml:space="preserve"> HYPERLINK "https://www.mingzhoubio.com/" </w:instrText>
    </w:r>
    <w:r>
      <w:fldChar w:fldCharType="separate"/>
    </w:r>
    <w:r>
      <w:rPr>
        <w:rStyle w:val="11"/>
        <w:rFonts w:hint="eastAsia" w:ascii="楷体" w:hAnsi="楷体" w:eastAsia="楷体" w:cs="楷体"/>
      </w:rPr>
      <w:t>https://www.mingzho</w:t>
    </w:r>
    <w:r>
      <w:rPr>
        <w:rStyle w:val="11"/>
        <w:rFonts w:hint="eastAsia"/>
      </w:rPr>
      <w:t>u</w:t>
    </w:r>
    <w:r>
      <w:rPr>
        <w:rStyle w:val="11"/>
        <w:rFonts w:hint="eastAsia" w:ascii="楷体" w:hAnsi="楷体" w:eastAsia="楷体" w:cs="楷体"/>
      </w:rPr>
      <w:t>bio.com/</w:t>
    </w:r>
    <w:r>
      <w:rPr>
        <w:rStyle w:val="11"/>
        <w:rFonts w:hint="eastAsia" w:ascii="楷体" w:hAnsi="楷体" w:eastAsia="楷体" w:cs="楷体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2E24A">
    <w:pPr>
      <w:pStyle w:val="5"/>
      <w:pBdr>
        <w:bottom w:val="none" w:color="auto" w:sz="0" w:space="1"/>
      </w:pBdr>
      <w:jc w:val="right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59690</wp:posOffset>
          </wp:positionH>
          <wp:positionV relativeFrom="paragraph">
            <wp:posOffset>-13970</wp:posOffset>
          </wp:positionV>
          <wp:extent cx="1297305" cy="366395"/>
          <wp:effectExtent l="0" t="0" r="17145" b="14605"/>
          <wp:wrapTopAndBottom/>
          <wp:docPr id="20" name="图片 20" descr="明舟生物logo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20" descr="明舟生物logo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305" cy="366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  <w:sz w:val="20"/>
        <w:szCs w:val="20"/>
      </w:rPr>
      <w:t>Ningbo Mingzhou Biotechnology Co., Ltd.</w:t>
    </w:r>
  </w:p>
  <w:p w14:paraId="63278313">
    <w:pPr>
      <w:pStyle w:val="5"/>
      <w:pBdr>
        <w:bottom w:val="none" w:color="auto" w:sz="0" w:space="1"/>
      </w:pBdr>
      <w:jc w:val="center"/>
      <w:rPr>
        <w:rFonts w:hint="eastAsia" w:ascii="楷体" w:hAnsi="楷体" w:eastAsia="楷体" w:cs="楷体"/>
        <w:sz w:val="20"/>
        <w:szCs w:val="20"/>
      </w:rPr>
    </w:pPr>
    <w:r>
      <w:rPr>
        <w:rFonts w:hint="eastAsia" w:ascii="楷体" w:hAnsi="楷体" w:eastAsia="楷体" w:cs="楷体"/>
        <w:sz w:val="20"/>
        <w:szCs w:val="20"/>
        <w:lang w:val="en-US" w:eastAsia="zh-CN"/>
      </w:rPr>
      <w:t xml:space="preserve">                                       </w:t>
    </w:r>
    <w:r>
      <w:rPr>
        <w:rFonts w:hint="eastAsia" w:ascii="楷体" w:hAnsi="楷体" w:eastAsia="楷体" w:cs="楷体"/>
        <w:sz w:val="20"/>
        <w:szCs w:val="20"/>
      </w:rPr>
      <w:t>Business lnquiry:+86-0574-87157013</w:t>
    </w:r>
  </w:p>
  <w:p w14:paraId="398D52DD">
    <w:pPr>
      <w:pStyle w:val="5"/>
      <w:pBdr>
        <w:bottom w:val="none" w:color="auto" w:sz="0" w:space="1"/>
      </w:pBdr>
      <w:jc w:val="center"/>
    </w:pPr>
    <w:r>
      <w:rPr>
        <w:rFonts w:hint="eastAsia" w:asciiTheme="minorEastAsia" w:hAnsiTheme="minorEastAsia" w:eastAsiaTheme="minorEastAsia" w:cstheme="minorEastAsia"/>
        <w:sz w:val="28"/>
        <w:szCs w:val="28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201295</wp:posOffset>
          </wp:positionV>
          <wp:extent cx="5243195" cy="132080"/>
          <wp:effectExtent l="0" t="0" r="14605" b="1270"/>
          <wp:wrapThrough wrapText="bothSides">
            <wp:wrapPolygon>
              <wp:start x="0" y="0"/>
              <wp:lineTo x="0" y="18692"/>
              <wp:lineTo x="21503" y="18692"/>
              <wp:lineTo x="21503" y="0"/>
              <wp:lineTo x="0" y="0"/>
            </wp:wrapPolygon>
          </wp:wrapThrough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43195" cy="132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  <w:sz w:val="20"/>
        <w:szCs w:val="20"/>
        <w:lang w:val="en-US" w:eastAsia="zh-CN"/>
      </w:rPr>
      <w:t xml:space="preserve">                              Email:mingzhoubio@163.com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74830">
    <w:pPr>
      <w:pStyle w:val="5"/>
    </w:pPr>
    <w:r>
      <w:rPr>
        <w:rFonts w:hint="eastAsia" w:asciiTheme="minorEastAsia" w:hAnsiTheme="minorEastAsia" w:eastAsiaTheme="minorEastAsia" w:cstheme="minorEastAsia"/>
        <w:sz w:val="28"/>
        <w:szCs w:val="28"/>
      </w:rPr>
      <w:drawing>
        <wp:anchor distT="0" distB="0" distL="0" distR="0" simplePos="0" relativeHeight="251662336" behindDoc="1" locked="0" layoutInCell="1" allowOverlap="1">
          <wp:simplePos x="0" y="0"/>
          <wp:positionH relativeFrom="column">
            <wp:posOffset>22225</wp:posOffset>
          </wp:positionH>
          <wp:positionV relativeFrom="paragraph">
            <wp:posOffset>24130</wp:posOffset>
          </wp:positionV>
          <wp:extent cx="5243195" cy="132080"/>
          <wp:effectExtent l="0" t="0" r="14605" b="1270"/>
          <wp:wrapThrough wrapText="bothSides">
            <wp:wrapPolygon>
              <wp:start x="0" y="0"/>
              <wp:lineTo x="0" y="18692"/>
              <wp:lineTo x="21503" y="18692"/>
              <wp:lineTo x="21503" y="0"/>
              <wp:lineTo x="0" y="0"/>
            </wp:wrapPolygon>
          </wp:wrapThrough>
          <wp:docPr id="8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43195" cy="132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DEF193"/>
    <w:multiLevelType w:val="singleLevel"/>
    <w:tmpl w:val="A2DEF19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68E3AD"/>
    <w:multiLevelType w:val="singleLevel"/>
    <w:tmpl w:val="6A68E3A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formatting="1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yOTk5NzE5MTdmZjQyZGUyNjQ4ZTY2OGU0YmNmNzQifQ=="/>
  </w:docVars>
  <w:rsids>
    <w:rsidRoot w:val="00D44F61"/>
    <w:rsid w:val="0001752B"/>
    <w:rsid w:val="00030A93"/>
    <w:rsid w:val="00042988"/>
    <w:rsid w:val="00047718"/>
    <w:rsid w:val="000565AA"/>
    <w:rsid w:val="00071844"/>
    <w:rsid w:val="00086163"/>
    <w:rsid w:val="00090CFF"/>
    <w:rsid w:val="00093219"/>
    <w:rsid w:val="000B3568"/>
    <w:rsid w:val="000E6911"/>
    <w:rsid w:val="000F2B61"/>
    <w:rsid w:val="00105054"/>
    <w:rsid w:val="00105B6F"/>
    <w:rsid w:val="0012362F"/>
    <w:rsid w:val="00124591"/>
    <w:rsid w:val="00156681"/>
    <w:rsid w:val="00163BD6"/>
    <w:rsid w:val="0017360F"/>
    <w:rsid w:val="001751E5"/>
    <w:rsid w:val="00180360"/>
    <w:rsid w:val="00180837"/>
    <w:rsid w:val="00185186"/>
    <w:rsid w:val="00190102"/>
    <w:rsid w:val="0019605C"/>
    <w:rsid w:val="001A5574"/>
    <w:rsid w:val="001B3534"/>
    <w:rsid w:val="001C2EE7"/>
    <w:rsid w:val="001D4B33"/>
    <w:rsid w:val="001D5FF9"/>
    <w:rsid w:val="001E1986"/>
    <w:rsid w:val="001F426B"/>
    <w:rsid w:val="001F44A3"/>
    <w:rsid w:val="001F7A3E"/>
    <w:rsid w:val="00214138"/>
    <w:rsid w:val="00225B25"/>
    <w:rsid w:val="00226658"/>
    <w:rsid w:val="0026426B"/>
    <w:rsid w:val="002806BE"/>
    <w:rsid w:val="002874B7"/>
    <w:rsid w:val="00292A37"/>
    <w:rsid w:val="002A6FBE"/>
    <w:rsid w:val="002B3D5B"/>
    <w:rsid w:val="002C4FE2"/>
    <w:rsid w:val="002D787A"/>
    <w:rsid w:val="002E13EB"/>
    <w:rsid w:val="002F0571"/>
    <w:rsid w:val="002F3062"/>
    <w:rsid w:val="00300F0D"/>
    <w:rsid w:val="003074A1"/>
    <w:rsid w:val="0031256C"/>
    <w:rsid w:val="00332D0A"/>
    <w:rsid w:val="00342506"/>
    <w:rsid w:val="0035195A"/>
    <w:rsid w:val="00362007"/>
    <w:rsid w:val="0036410C"/>
    <w:rsid w:val="00375525"/>
    <w:rsid w:val="003A0083"/>
    <w:rsid w:val="003B7609"/>
    <w:rsid w:val="003C3816"/>
    <w:rsid w:val="003C4D1A"/>
    <w:rsid w:val="003D5F42"/>
    <w:rsid w:val="003E3503"/>
    <w:rsid w:val="003E6696"/>
    <w:rsid w:val="003E69C8"/>
    <w:rsid w:val="003F1693"/>
    <w:rsid w:val="004043A0"/>
    <w:rsid w:val="00407688"/>
    <w:rsid w:val="004136FA"/>
    <w:rsid w:val="00414CF0"/>
    <w:rsid w:val="00417DA7"/>
    <w:rsid w:val="00421068"/>
    <w:rsid w:val="004251E1"/>
    <w:rsid w:val="0043045E"/>
    <w:rsid w:val="00444431"/>
    <w:rsid w:val="004711E9"/>
    <w:rsid w:val="00477900"/>
    <w:rsid w:val="0048499E"/>
    <w:rsid w:val="004852FF"/>
    <w:rsid w:val="0049482D"/>
    <w:rsid w:val="004C04EA"/>
    <w:rsid w:val="004C58D1"/>
    <w:rsid w:val="004C7067"/>
    <w:rsid w:val="004F7E82"/>
    <w:rsid w:val="005342D6"/>
    <w:rsid w:val="00551074"/>
    <w:rsid w:val="0055551D"/>
    <w:rsid w:val="00565DEA"/>
    <w:rsid w:val="00573121"/>
    <w:rsid w:val="005761DC"/>
    <w:rsid w:val="0058364E"/>
    <w:rsid w:val="00593E31"/>
    <w:rsid w:val="00597176"/>
    <w:rsid w:val="005A152D"/>
    <w:rsid w:val="005A30A7"/>
    <w:rsid w:val="005D66EE"/>
    <w:rsid w:val="006054FE"/>
    <w:rsid w:val="0062426F"/>
    <w:rsid w:val="00634919"/>
    <w:rsid w:val="00635E57"/>
    <w:rsid w:val="00637AD9"/>
    <w:rsid w:val="00641610"/>
    <w:rsid w:val="00645F70"/>
    <w:rsid w:val="00662948"/>
    <w:rsid w:val="00673F03"/>
    <w:rsid w:val="00677DEF"/>
    <w:rsid w:val="006A3514"/>
    <w:rsid w:val="006A5D66"/>
    <w:rsid w:val="006C3474"/>
    <w:rsid w:val="006C396B"/>
    <w:rsid w:val="006C782B"/>
    <w:rsid w:val="006E02AE"/>
    <w:rsid w:val="00715FF8"/>
    <w:rsid w:val="00717F5B"/>
    <w:rsid w:val="00725D39"/>
    <w:rsid w:val="00733454"/>
    <w:rsid w:val="00740C87"/>
    <w:rsid w:val="007459F6"/>
    <w:rsid w:val="00752C38"/>
    <w:rsid w:val="007604AD"/>
    <w:rsid w:val="0076467D"/>
    <w:rsid w:val="00792406"/>
    <w:rsid w:val="007A7B25"/>
    <w:rsid w:val="007B38B7"/>
    <w:rsid w:val="007C7507"/>
    <w:rsid w:val="007D37C2"/>
    <w:rsid w:val="007E69F6"/>
    <w:rsid w:val="007F23C8"/>
    <w:rsid w:val="007F31DB"/>
    <w:rsid w:val="0080327C"/>
    <w:rsid w:val="00827A04"/>
    <w:rsid w:val="00851B47"/>
    <w:rsid w:val="0085412F"/>
    <w:rsid w:val="0086135E"/>
    <w:rsid w:val="0086474B"/>
    <w:rsid w:val="008733AC"/>
    <w:rsid w:val="008843C3"/>
    <w:rsid w:val="008900A0"/>
    <w:rsid w:val="008B30BC"/>
    <w:rsid w:val="008B793D"/>
    <w:rsid w:val="008C01C7"/>
    <w:rsid w:val="008E0423"/>
    <w:rsid w:val="008E25A1"/>
    <w:rsid w:val="008E65AF"/>
    <w:rsid w:val="008F059E"/>
    <w:rsid w:val="008F381C"/>
    <w:rsid w:val="0091544D"/>
    <w:rsid w:val="0092473D"/>
    <w:rsid w:val="009268DC"/>
    <w:rsid w:val="00927869"/>
    <w:rsid w:val="0093502D"/>
    <w:rsid w:val="009462EC"/>
    <w:rsid w:val="009465FE"/>
    <w:rsid w:val="00985FBA"/>
    <w:rsid w:val="009875FD"/>
    <w:rsid w:val="00991455"/>
    <w:rsid w:val="009A59D9"/>
    <w:rsid w:val="009B4517"/>
    <w:rsid w:val="009D08E9"/>
    <w:rsid w:val="009E3D9B"/>
    <w:rsid w:val="009E455D"/>
    <w:rsid w:val="009E56EB"/>
    <w:rsid w:val="009F3109"/>
    <w:rsid w:val="009F3271"/>
    <w:rsid w:val="00A13486"/>
    <w:rsid w:val="00A1488E"/>
    <w:rsid w:val="00A20E26"/>
    <w:rsid w:val="00A24FF7"/>
    <w:rsid w:val="00A303E9"/>
    <w:rsid w:val="00A545E8"/>
    <w:rsid w:val="00A5706D"/>
    <w:rsid w:val="00AA2EA4"/>
    <w:rsid w:val="00AA66B9"/>
    <w:rsid w:val="00AB2931"/>
    <w:rsid w:val="00AC0647"/>
    <w:rsid w:val="00AE2E4B"/>
    <w:rsid w:val="00AE7E2C"/>
    <w:rsid w:val="00AF0EF9"/>
    <w:rsid w:val="00AF5D67"/>
    <w:rsid w:val="00AF799C"/>
    <w:rsid w:val="00B06314"/>
    <w:rsid w:val="00B31CD2"/>
    <w:rsid w:val="00B43612"/>
    <w:rsid w:val="00B52886"/>
    <w:rsid w:val="00B6623E"/>
    <w:rsid w:val="00B77016"/>
    <w:rsid w:val="00B87284"/>
    <w:rsid w:val="00B95E58"/>
    <w:rsid w:val="00B97C9F"/>
    <w:rsid w:val="00BB6674"/>
    <w:rsid w:val="00BC4DD9"/>
    <w:rsid w:val="00BD7B04"/>
    <w:rsid w:val="00BF30C1"/>
    <w:rsid w:val="00C13697"/>
    <w:rsid w:val="00C276F1"/>
    <w:rsid w:val="00C36488"/>
    <w:rsid w:val="00C43E36"/>
    <w:rsid w:val="00C8572D"/>
    <w:rsid w:val="00CA430B"/>
    <w:rsid w:val="00CA6579"/>
    <w:rsid w:val="00CA7B64"/>
    <w:rsid w:val="00CB0C10"/>
    <w:rsid w:val="00CC474C"/>
    <w:rsid w:val="00CE165A"/>
    <w:rsid w:val="00CE60C8"/>
    <w:rsid w:val="00CE619E"/>
    <w:rsid w:val="00D06A59"/>
    <w:rsid w:val="00D26A27"/>
    <w:rsid w:val="00D37E6F"/>
    <w:rsid w:val="00D44F61"/>
    <w:rsid w:val="00D451E4"/>
    <w:rsid w:val="00D47559"/>
    <w:rsid w:val="00D55B4A"/>
    <w:rsid w:val="00D60AAD"/>
    <w:rsid w:val="00D641E9"/>
    <w:rsid w:val="00D66C0D"/>
    <w:rsid w:val="00D82FB2"/>
    <w:rsid w:val="00D84364"/>
    <w:rsid w:val="00D91171"/>
    <w:rsid w:val="00DB0153"/>
    <w:rsid w:val="00DD4A9D"/>
    <w:rsid w:val="00E151D7"/>
    <w:rsid w:val="00E15234"/>
    <w:rsid w:val="00E22754"/>
    <w:rsid w:val="00E3325B"/>
    <w:rsid w:val="00E55334"/>
    <w:rsid w:val="00E57828"/>
    <w:rsid w:val="00E72416"/>
    <w:rsid w:val="00E73573"/>
    <w:rsid w:val="00E82C5D"/>
    <w:rsid w:val="00EA1F24"/>
    <w:rsid w:val="00EC2D85"/>
    <w:rsid w:val="00EE38E1"/>
    <w:rsid w:val="00F07E20"/>
    <w:rsid w:val="00F16554"/>
    <w:rsid w:val="00F17499"/>
    <w:rsid w:val="00F25D76"/>
    <w:rsid w:val="00F27266"/>
    <w:rsid w:val="00F57F5D"/>
    <w:rsid w:val="00F66AFF"/>
    <w:rsid w:val="00F72A65"/>
    <w:rsid w:val="00F73762"/>
    <w:rsid w:val="00F76BBD"/>
    <w:rsid w:val="00F779F7"/>
    <w:rsid w:val="00F81569"/>
    <w:rsid w:val="00F83E2D"/>
    <w:rsid w:val="00F907D8"/>
    <w:rsid w:val="00F91500"/>
    <w:rsid w:val="00FB2835"/>
    <w:rsid w:val="00FC0657"/>
    <w:rsid w:val="00FC3687"/>
    <w:rsid w:val="01AA1AC9"/>
    <w:rsid w:val="022C28EF"/>
    <w:rsid w:val="04A86794"/>
    <w:rsid w:val="05781409"/>
    <w:rsid w:val="05BE78F1"/>
    <w:rsid w:val="05D86321"/>
    <w:rsid w:val="06BC55A9"/>
    <w:rsid w:val="07B5125A"/>
    <w:rsid w:val="07DC0503"/>
    <w:rsid w:val="08910556"/>
    <w:rsid w:val="08A52FEB"/>
    <w:rsid w:val="0AED0014"/>
    <w:rsid w:val="0B7E1671"/>
    <w:rsid w:val="0EE47636"/>
    <w:rsid w:val="100B5E29"/>
    <w:rsid w:val="10502A36"/>
    <w:rsid w:val="10831E63"/>
    <w:rsid w:val="113E3FDC"/>
    <w:rsid w:val="113E5890"/>
    <w:rsid w:val="117A4938"/>
    <w:rsid w:val="139D148E"/>
    <w:rsid w:val="144C07BE"/>
    <w:rsid w:val="15676040"/>
    <w:rsid w:val="15957781"/>
    <w:rsid w:val="166B5873"/>
    <w:rsid w:val="172779EC"/>
    <w:rsid w:val="17C83A62"/>
    <w:rsid w:val="1890511D"/>
    <w:rsid w:val="19595E57"/>
    <w:rsid w:val="1A7B6F9F"/>
    <w:rsid w:val="1ABE2100"/>
    <w:rsid w:val="1B8329A8"/>
    <w:rsid w:val="1C7616CE"/>
    <w:rsid w:val="1CF52953"/>
    <w:rsid w:val="1D803656"/>
    <w:rsid w:val="1DB501D6"/>
    <w:rsid w:val="1E9F430C"/>
    <w:rsid w:val="1ED77569"/>
    <w:rsid w:val="1F9951FF"/>
    <w:rsid w:val="1FBF671F"/>
    <w:rsid w:val="206C46C2"/>
    <w:rsid w:val="21A9016E"/>
    <w:rsid w:val="23CD2307"/>
    <w:rsid w:val="240C526E"/>
    <w:rsid w:val="242F72BF"/>
    <w:rsid w:val="24616861"/>
    <w:rsid w:val="260B04D9"/>
    <w:rsid w:val="29777DCC"/>
    <w:rsid w:val="2AA92FD2"/>
    <w:rsid w:val="2B4F0E68"/>
    <w:rsid w:val="2FFC15DF"/>
    <w:rsid w:val="3049232A"/>
    <w:rsid w:val="310B5831"/>
    <w:rsid w:val="32563D7B"/>
    <w:rsid w:val="32BF4B25"/>
    <w:rsid w:val="32E16581"/>
    <w:rsid w:val="32EE71B8"/>
    <w:rsid w:val="33396F17"/>
    <w:rsid w:val="34237336"/>
    <w:rsid w:val="37C03980"/>
    <w:rsid w:val="3908412D"/>
    <w:rsid w:val="39FA59F6"/>
    <w:rsid w:val="3AE1618D"/>
    <w:rsid w:val="3CB40325"/>
    <w:rsid w:val="3D4D2D2E"/>
    <w:rsid w:val="3D8175A7"/>
    <w:rsid w:val="3D92550B"/>
    <w:rsid w:val="3E4660FB"/>
    <w:rsid w:val="3F784373"/>
    <w:rsid w:val="3FC4377B"/>
    <w:rsid w:val="3FDD483D"/>
    <w:rsid w:val="41D35EF7"/>
    <w:rsid w:val="430543F5"/>
    <w:rsid w:val="44906321"/>
    <w:rsid w:val="45BE7A4B"/>
    <w:rsid w:val="46284338"/>
    <w:rsid w:val="465A6BE7"/>
    <w:rsid w:val="46AA2F9F"/>
    <w:rsid w:val="47EC46B8"/>
    <w:rsid w:val="481A269E"/>
    <w:rsid w:val="4A5971B6"/>
    <w:rsid w:val="4C6065D9"/>
    <w:rsid w:val="4DAD1CF2"/>
    <w:rsid w:val="4E162CE3"/>
    <w:rsid w:val="4E61189A"/>
    <w:rsid w:val="4E9C3B15"/>
    <w:rsid w:val="4F9111A0"/>
    <w:rsid w:val="51B86EB8"/>
    <w:rsid w:val="525104D1"/>
    <w:rsid w:val="55432F3C"/>
    <w:rsid w:val="559A1478"/>
    <w:rsid w:val="56680EAC"/>
    <w:rsid w:val="56BC008F"/>
    <w:rsid w:val="57FF139C"/>
    <w:rsid w:val="58AB3A9F"/>
    <w:rsid w:val="58DF11CE"/>
    <w:rsid w:val="596A0A97"/>
    <w:rsid w:val="59E22D24"/>
    <w:rsid w:val="5AFA22EF"/>
    <w:rsid w:val="5D5568A2"/>
    <w:rsid w:val="5DE51034"/>
    <w:rsid w:val="604007A4"/>
    <w:rsid w:val="6087074E"/>
    <w:rsid w:val="638E7A78"/>
    <w:rsid w:val="649C61C5"/>
    <w:rsid w:val="64F735D8"/>
    <w:rsid w:val="653B6DB7"/>
    <w:rsid w:val="665B55F2"/>
    <w:rsid w:val="68AF241A"/>
    <w:rsid w:val="69C257AE"/>
    <w:rsid w:val="6DD55C0F"/>
    <w:rsid w:val="6E4B5D38"/>
    <w:rsid w:val="6EFE14B7"/>
    <w:rsid w:val="6F451933"/>
    <w:rsid w:val="6F6A1399"/>
    <w:rsid w:val="70057314"/>
    <w:rsid w:val="71285CA1"/>
    <w:rsid w:val="72200435"/>
    <w:rsid w:val="722515A8"/>
    <w:rsid w:val="731305A5"/>
    <w:rsid w:val="742E693B"/>
    <w:rsid w:val="743C0782"/>
    <w:rsid w:val="745D14CD"/>
    <w:rsid w:val="74F8254C"/>
    <w:rsid w:val="762665AF"/>
    <w:rsid w:val="76946CFC"/>
    <w:rsid w:val="77040835"/>
    <w:rsid w:val="771110BC"/>
    <w:rsid w:val="77212C85"/>
    <w:rsid w:val="774D3A7A"/>
    <w:rsid w:val="79CB0C87"/>
    <w:rsid w:val="7A721A4A"/>
    <w:rsid w:val="7A88301C"/>
    <w:rsid w:val="7B320B58"/>
    <w:rsid w:val="7BEE534A"/>
    <w:rsid w:val="7C262AEC"/>
    <w:rsid w:val="7C542D13"/>
    <w:rsid w:val="7CE566BC"/>
    <w:rsid w:val="7F9B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40" w:after="80"/>
      <w:outlineLvl w:val="0"/>
    </w:pPr>
    <w:rPr>
      <w:rFonts w:asciiTheme="majorHAnsi" w:hAnsiTheme="majorHAnsi" w:eastAsiaTheme="majorEastAsia" w:cstheme="majorBidi"/>
      <w:b/>
      <w:bCs/>
      <w:color w:val="202020"/>
      <w:sz w:val="25"/>
      <w:szCs w:val="2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autoRedefine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autoRedefine/>
    <w:qFormat/>
    <w:uiPriority w:val="99"/>
    <w:rPr>
      <w:rFonts w:ascii="宋体" w:hAnsi="宋体" w:cs="宋体"/>
      <w:sz w:val="18"/>
      <w:szCs w:val="18"/>
    </w:rPr>
  </w:style>
  <w:style w:type="character" w:customStyle="1" w:styleId="13">
    <w:name w:val="页脚 字符"/>
    <w:basedOn w:val="9"/>
    <w:link w:val="4"/>
    <w:autoRedefine/>
    <w:qFormat/>
    <w:uiPriority w:val="99"/>
    <w:rPr>
      <w:rFonts w:ascii="宋体" w:hAnsi="宋体" w:cs="宋体"/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5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6">
    <w:name w:val="正文（自主）"/>
    <w:basedOn w:val="1"/>
    <w:qFormat/>
    <w:uiPriority w:val="0"/>
    <w:pPr>
      <w:spacing w:after="0"/>
    </w:pPr>
    <w:rPr>
      <w:rFonts w:ascii="Times New Roman" w:hAnsi="Times New Roman" w:eastAsia="宋体"/>
      <w:sz w:val="1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3E56E8-B0D9-46D9-A0F4-BE7C3AD40C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1345</Words>
  <Characters>1807</Characters>
  <Lines>5</Lines>
  <Paragraphs>1</Paragraphs>
  <TotalTime>2</TotalTime>
  <ScaleCrop>false</ScaleCrop>
  <LinksUpToDate>false</LinksUpToDate>
  <CharactersWithSpaces>1917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2025-03-19T05:55:00Z</dcterms:created>
  <dc:creator>Administrator</dc:creator>
  <cp:lastModifiedBy>开心的眼泪</cp:lastModifiedBy>
  <cp:lastPrinted>2026-09-14T02:49:43Z</cp:lastPrinted>
  <dcterms:modified xsi:type="dcterms:W3CDTF">2026-09-14T02:50:05Z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5F37853093594B9BB6EF11C850BB427D_13</vt:lpwstr>
  </property>
  <property fmtid="{D5CDD505-2E9C-101B-9397-08002B2CF9AE}" pid="4" name="KSOTemplateDocerSaveRecord">
    <vt:lpwstr>eyJoZGlkIjoiZjczMTc2NjMyNmU1YjZhZjFiYTQzMTNlZDlmYzZhN2MiLCJ1c2VySWQiOiIzMjgzNzkxNzIifQ==</vt:lpwstr>
  </property>
</Properties>
</file>