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ABCB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</w:pPr>
    </w:p>
    <w:p w14:paraId="76D4D2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center"/>
        <w:textAlignment w:val="auto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Streptococcus pyogenes (Group A Streptococcus) Real‑time Fluorescent Quantitative PCR Detection Kit</w:t>
      </w:r>
    </w:p>
    <w:p w14:paraId="140C9F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  <w:t>一、产品名称</w:t>
      </w:r>
    </w:p>
    <w:p w14:paraId="5720B1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</w:rPr>
        <w:t>中文名称：化脓链球菌 A 群实时荧光定量检测试剂盒</w:t>
      </w:r>
    </w:p>
    <w:p w14:paraId="414893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  <w:lang w:eastAsia="zh-CN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</w:rPr>
        <w:t>货号：</w:t>
      </w:r>
    </w:p>
    <w:p w14:paraId="4FD682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  <w:t>二、产品内容</w:t>
      </w:r>
    </w:p>
    <w:tbl>
      <w:tblPr>
        <w:tblStyle w:val="7"/>
        <w:tblW w:w="8398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1"/>
        <w:gridCol w:w="4598"/>
        <w:gridCol w:w="1299"/>
        <w:gridCol w:w="1050"/>
      </w:tblGrid>
      <w:tr w14:paraId="2F7A48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451" w:type="dxa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D895A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val="en-US" w:eastAsia="zh-CN"/>
              </w:rPr>
              <w:t>货号</w:t>
            </w:r>
          </w:p>
        </w:tc>
        <w:tc>
          <w:tcPr>
            <w:tcW w:w="4598" w:type="dxa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B0913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val="en-US" w:eastAsia="zh-CN"/>
              </w:rPr>
              <w:t>产品成分</w:t>
            </w:r>
          </w:p>
        </w:tc>
        <w:tc>
          <w:tcPr>
            <w:tcW w:w="1299" w:type="dxa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E78B8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val="en-US" w:eastAsia="zh-CN"/>
              </w:rPr>
              <w:t>规格</w:t>
            </w:r>
          </w:p>
        </w:tc>
        <w:tc>
          <w:tcPr>
            <w:tcW w:w="1050" w:type="dxa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DA65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val="en-US" w:eastAsia="zh-CN"/>
              </w:rPr>
              <w:t>储存条件</w:t>
            </w:r>
          </w:p>
        </w:tc>
      </w:tr>
      <w:tr w14:paraId="0941CF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451" w:type="dxa"/>
            <w:vMerge w:val="restart"/>
            <w:tcBorders>
              <w:top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F5EBD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</w:pPr>
            <w:bookmarkStart w:id="0" w:name="_GoBack" w:colFirst="2" w:colLast="2"/>
          </w:p>
        </w:tc>
        <w:tc>
          <w:tcPr>
            <w:tcW w:w="4598" w:type="dxa"/>
            <w:tcBorders>
              <w:top w:val="single" w:color="000000" w:sz="4" w:space="0"/>
              <w:lef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340D31">
            <w:pPr>
              <w:widowControl w:val="0"/>
              <w:spacing w:after="0"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2× Probe qPCR Mix</w:t>
            </w:r>
          </w:p>
        </w:tc>
        <w:tc>
          <w:tcPr>
            <w:tcW w:w="1299" w:type="dxa"/>
            <w:tcBorders>
              <w:top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815990F">
            <w:pPr>
              <w:widowControl w:val="0"/>
              <w:spacing w:after="0"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202020"/>
                <w:sz w:val="28"/>
                <w:szCs w:val="28"/>
                <w:lang w:val="en-US" w:eastAsia="zh-CN"/>
              </w:rPr>
              <w:t>1</w:t>
            </w:r>
            <w:r>
              <w:rPr>
                <w:rFonts w:ascii="Times New Roman" w:hAnsi="Times New Roman"/>
                <w:color w:val="20202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color w:val="202020"/>
                <w:sz w:val="28"/>
                <w:szCs w:val="28"/>
                <w:lang w:val="en-US" w:eastAsia="zh-CN"/>
              </w:rPr>
              <w:t>m</w:t>
            </w:r>
            <w:r>
              <w:rPr>
                <w:rFonts w:ascii="Times New Roman" w:hAnsi="Times New Roman"/>
                <w:color w:val="202020"/>
                <w:sz w:val="28"/>
                <w:szCs w:val="28"/>
              </w:rPr>
              <w:t>L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1081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  <w:lang w:eastAsia="zh-CN"/>
              </w:rPr>
              <w:t>-20℃</w:t>
            </w:r>
          </w:p>
        </w:tc>
      </w:tr>
      <w:tr w14:paraId="7D50F5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451" w:type="dxa"/>
            <w:vMerge w:val="continue"/>
            <w:tcBorders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78B3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</w:pPr>
          </w:p>
        </w:tc>
        <w:tc>
          <w:tcPr>
            <w:tcW w:w="4598" w:type="dxa"/>
            <w:tcBorders>
              <w:lef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924BAF3">
            <w:pPr>
              <w:widowControl w:val="0"/>
              <w:spacing w:after="0"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202020"/>
                <w:sz w:val="28"/>
                <w:szCs w:val="28"/>
                <w:lang w:eastAsia="zh-CN"/>
              </w:rPr>
              <w:t>S. pyogenes</w:t>
            </w:r>
            <w:r>
              <w:rPr>
                <w:rFonts w:ascii="Times New Roman" w:hAnsi="Times New Roman"/>
                <w:color w:val="202020"/>
                <w:sz w:val="28"/>
                <w:szCs w:val="28"/>
              </w:rPr>
              <w:t xml:space="preserve"> Primer &amp; Probe Mix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EC0E9DB">
            <w:pPr>
              <w:widowControl w:val="0"/>
              <w:spacing w:after="0"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202020"/>
                <w:sz w:val="28"/>
                <w:szCs w:val="28"/>
                <w:lang w:val="en-US" w:eastAsia="zh-CN"/>
              </w:rPr>
              <w:t>300</w:t>
            </w:r>
            <w:r>
              <w:rPr>
                <w:rFonts w:ascii="Times New Roman" w:hAnsi="Times New Roman"/>
                <w:color w:val="202020"/>
                <w:sz w:val="28"/>
                <w:szCs w:val="28"/>
              </w:rPr>
              <w:t xml:space="preserve"> μL</w:t>
            </w:r>
          </w:p>
        </w:tc>
        <w:tc>
          <w:tcPr>
            <w:tcW w:w="105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5187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</w:pPr>
          </w:p>
        </w:tc>
      </w:tr>
      <w:tr w14:paraId="4DB87F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451" w:type="dxa"/>
            <w:vMerge w:val="continue"/>
            <w:tcBorders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22172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</w:pPr>
          </w:p>
        </w:tc>
        <w:tc>
          <w:tcPr>
            <w:tcW w:w="4598" w:type="dxa"/>
            <w:tcBorders>
              <w:lef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5B219C7">
            <w:pPr>
              <w:widowControl w:val="0"/>
              <w:spacing w:after="0"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202020"/>
                <w:sz w:val="28"/>
                <w:szCs w:val="28"/>
                <w:lang w:eastAsia="zh-CN"/>
              </w:rPr>
              <w:t>S. pyogenes</w:t>
            </w:r>
            <w:r>
              <w:rPr>
                <w:rFonts w:hint="eastAsia" w:ascii="Times New Roman" w:hAnsi="Times New Roman"/>
                <w:color w:val="20202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color w:val="202020"/>
                <w:sz w:val="28"/>
                <w:szCs w:val="28"/>
              </w:rPr>
              <w:t>Quantitative</w:t>
            </w:r>
            <w:r>
              <w:rPr>
                <w:rFonts w:hint="eastAsia" w:ascii="Times New Roman" w:hAnsi="Times New Roman"/>
                <w:color w:val="20202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color w:val="202020"/>
                <w:sz w:val="28"/>
                <w:szCs w:val="28"/>
              </w:rPr>
              <w:t>Standard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BFEE69F">
            <w:pPr>
              <w:widowControl w:val="0"/>
              <w:spacing w:after="0"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202020"/>
                <w:sz w:val="28"/>
                <w:szCs w:val="28"/>
                <w:lang w:val="en-US" w:eastAsia="zh-CN"/>
              </w:rPr>
              <w:t>10</w:t>
            </w:r>
            <w:r>
              <w:rPr>
                <w:rFonts w:ascii="Times New Roman" w:hAnsi="Times New Roman"/>
                <w:color w:val="202020"/>
                <w:sz w:val="28"/>
                <w:szCs w:val="28"/>
              </w:rPr>
              <w:t>0 μL</w:t>
            </w:r>
          </w:p>
        </w:tc>
        <w:tc>
          <w:tcPr>
            <w:tcW w:w="105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FC436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</w:pPr>
          </w:p>
        </w:tc>
      </w:tr>
      <w:tr w14:paraId="7E1186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451" w:type="dxa"/>
            <w:vMerge w:val="continue"/>
            <w:tcBorders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4016B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</w:pPr>
          </w:p>
        </w:tc>
        <w:tc>
          <w:tcPr>
            <w:tcW w:w="4598" w:type="dxa"/>
            <w:tcBorders>
              <w:lef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37AD49B">
            <w:pPr>
              <w:widowControl w:val="0"/>
              <w:spacing w:after="0"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No Template Control (NTC)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3345CEA">
            <w:pPr>
              <w:widowControl w:val="0"/>
              <w:spacing w:after="0"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202020"/>
                <w:sz w:val="28"/>
                <w:szCs w:val="28"/>
                <w:lang w:val="en-US" w:eastAsia="zh-CN"/>
              </w:rPr>
              <w:t>15</w:t>
            </w:r>
            <w:r>
              <w:rPr>
                <w:rFonts w:ascii="Times New Roman" w:hAnsi="Times New Roman"/>
                <w:color w:val="20202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color w:val="202020"/>
                <w:sz w:val="28"/>
                <w:szCs w:val="28"/>
                <w:lang w:val="en-US" w:eastAsia="zh-CN"/>
              </w:rPr>
              <w:t>m</w:t>
            </w:r>
            <w:r>
              <w:rPr>
                <w:rFonts w:ascii="Times New Roman" w:hAnsi="Times New Roman"/>
                <w:color w:val="202020"/>
                <w:sz w:val="28"/>
                <w:szCs w:val="28"/>
              </w:rPr>
              <w:t>L</w:t>
            </w:r>
          </w:p>
        </w:tc>
        <w:tc>
          <w:tcPr>
            <w:tcW w:w="105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EF07E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val="en-US" w:eastAsia="zh-CN"/>
              </w:rPr>
            </w:pPr>
          </w:p>
        </w:tc>
      </w:tr>
      <w:bookmarkEnd w:id="0"/>
    </w:tbl>
    <w:p w14:paraId="649D96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  <w:t>三、储存条件</w:t>
      </w:r>
    </w:p>
    <w:p w14:paraId="310248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本产品</w:t>
      </w:r>
      <w:r>
        <w:rPr>
          <w:rFonts w:hint="eastAsia" w:ascii="Times New Roman" w:hAnsi="Times New Roman" w:eastAsiaTheme="minorEastAsia" w:cstheme="minorEastAsia"/>
          <w:sz w:val="28"/>
          <w:szCs w:val="28"/>
        </w:rPr>
        <w:t>收到后置于 -20℃ 避光保存，避免反复冻融；建议按单次用量分装。未开封试剂在规定条件下有效期为 12 个月。定量标准品解冻后应轻柔混匀并短暂离心。具体有效期以产品标签为准。</w:t>
      </w:r>
    </w:p>
    <w:p w14:paraId="1EDCB37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  <w:t>产品介绍</w:t>
      </w:r>
    </w:p>
    <w:p w14:paraId="166159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/>
          <w:sz w:val="28"/>
          <w:szCs w:val="28"/>
          <w:lang w:eastAsia="zh-CN"/>
        </w:rPr>
      </w:pPr>
      <w:r>
        <w:rPr>
          <w:rFonts w:hint="eastAsia" w:ascii="Times New Roman" w:hAnsi="Times New Roman"/>
          <w:sz w:val="28"/>
          <w:szCs w:val="28"/>
          <w:lang w:eastAsia="zh-CN"/>
        </w:rPr>
        <w:t>本试剂盒采用 TaqMan 探针法实时荧光定量 PCR，用于定量检测样本中的化脓链球菌 A 群 （Streptococcus pyogenes (Group A Streptococcus)</w:t>
      </w:r>
      <w:r>
        <w:rPr>
          <w:rFonts w:hint="eastAsia" w:ascii="Times New Roman" w:hAnsi="Times New Roman" w:cs="Times New Roman"/>
          <w:b/>
          <w:bCs/>
          <w:sz w:val="32"/>
          <w:szCs w:val="32"/>
          <w:lang w:eastAsia="zh-CN"/>
        </w:rPr>
        <w:t>，</w:t>
      </w:r>
      <w:r>
        <w:rPr>
          <w:rFonts w:hint="eastAsia" w:ascii="Times New Roman" w:hAnsi="Times New Roman"/>
          <w:sz w:val="28"/>
          <w:szCs w:val="28"/>
          <w:lang w:eastAsia="zh-CN"/>
        </w:rPr>
        <w:t>S. pyogenes) DNA。试剂盒包含 S. pyogenes 特异性引物/探针、Robustart Premix OT plus‑UNG (Probe qPCR)、S. pyogenes 定量标准品及无模板对照。通过标准品建立标准曲线，并依据样本 Ct 值计算相应拷贝数。</w:t>
      </w:r>
    </w:p>
    <w:p w14:paraId="5FFFA9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/>
          <w:sz w:val="28"/>
          <w:szCs w:val="28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680" w:gutter="0"/>
          <w:pgNumType w:fmt="decimal"/>
          <w:cols w:space="425" w:num="1"/>
          <w:docGrid w:linePitch="312" w:charSpace="0"/>
        </w:sectPr>
      </w:pPr>
    </w:p>
    <w:p w14:paraId="106C6A4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  <w:t>样本要求</w:t>
      </w:r>
    </w:p>
    <w:p w14:paraId="133F8A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ascii="Times New Roman" w:hAnsi="Times New Roman"/>
          <w:color w:val="202020"/>
          <w:sz w:val="28"/>
          <w:szCs w:val="28"/>
          <w:lang w:eastAsia="zh-CN"/>
        </w:rPr>
      </w:pPr>
      <w:r>
        <w:rPr>
          <w:rFonts w:ascii="Times New Roman" w:hAnsi="Times New Roman"/>
          <w:color w:val="202020"/>
          <w:sz w:val="28"/>
          <w:szCs w:val="28"/>
          <w:lang w:eastAsia="zh-CN"/>
        </w:rPr>
        <w:t>适用于粪便、肠道内容物、培养物或其他科研样本提取的总 DNA。建议使用适合复杂样本的 DNA 提取方法，并设置提取空白对照。DNA 应无明显 PCR 抑制物；浓度过高时可用无核酸酶水稀释后检测。不同样本类型之间不宜直接比较未经归一化的结果。</w:t>
      </w:r>
    </w:p>
    <w:p w14:paraId="43A778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/>
          <w:color w:val="202020"/>
          <w:sz w:val="28"/>
          <w:szCs w:val="28"/>
          <w:lang w:eastAsia="zh-CN"/>
        </w:rPr>
      </w:pPr>
    </w:p>
    <w:p w14:paraId="200093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  <w:t>六、使用前注意事项</w:t>
      </w:r>
    </w:p>
    <w:p w14:paraId="7BBC8E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</w:rPr>
        <w:t>1.实验应划分试剂准备区、样本处理区和扩增分析区，并使用带滤芯枪头，防止气溶胶污染。</w:t>
      </w:r>
    </w:p>
    <w:p w14:paraId="2BCEF7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</w:rPr>
        <w:t>2.标准品为高拷贝核酸材料，应最后开盖、单独加样；如发生泄漏，应立即进行核酸去污染处理。</w:t>
      </w:r>
    </w:p>
    <w:p w14:paraId="1CFA13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</w:rPr>
        <w:t>3.反应液应在冰上操作，避免强光照射探针。所有组分充分解冻、混匀并短暂离心后使用。</w:t>
      </w:r>
    </w:p>
    <w:p w14:paraId="784A5E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</w:rPr>
        <w:t>4.样本基质、提取效率及 PCR 抑制均会影响定量结果。需要严谨比较时，建议设置外源过程控制或内参。</w:t>
      </w:r>
    </w:p>
    <w:p w14:paraId="5DA930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</w:rPr>
        <w:t>5.为了您的安全和健康，请穿实验服、佩戴手套及必要的眼面部防护，并按实验室规范处置废弃物。</w:t>
      </w:r>
    </w:p>
    <w:p w14:paraId="6FDB48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</w:rPr>
      </w:pPr>
    </w:p>
    <w:p w14:paraId="2394F4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  <w:t>七、反应体系</w:t>
      </w:r>
    </w:p>
    <w:tbl>
      <w:tblPr>
        <w:tblStyle w:val="6"/>
        <w:tblW w:w="8522" w:type="dxa"/>
        <w:jc w:val="center"/>
        <w:tblBorders>
          <w:top w:val="single" w:color="000000" w:sz="6" w:space="0"/>
          <w:left w:val="none" w:color="auto" w:sz="0" w:space="0"/>
          <w:bottom w:val="single" w:color="000000" w:sz="6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57"/>
        <w:gridCol w:w="1679"/>
        <w:gridCol w:w="2386"/>
      </w:tblGrid>
      <w:tr w14:paraId="7057073F">
        <w:tblPrEx>
          <w:tblBorders>
            <w:top w:val="single" w:color="000000" w:sz="6" w:space="0"/>
            <w:left w:val="none" w:color="auto" w:sz="0" w:space="0"/>
            <w:bottom w:val="single" w:color="00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457" w:type="dxa"/>
            <w:tcBorders>
              <w:bottom w:val="single" w:color="000000" w:sz="4" w:space="0"/>
            </w:tcBorders>
            <w:shd w:val="clear" w:color="auto" w:fill="auto"/>
            <w:noWrap w:val="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ECB55F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组分</w:t>
            </w:r>
          </w:p>
        </w:tc>
        <w:tc>
          <w:tcPr>
            <w:tcW w:w="1679" w:type="dxa"/>
            <w:tcBorders>
              <w:bottom w:val="single" w:color="000000" w:sz="4" w:space="0"/>
            </w:tcBorders>
            <w:shd w:val="clear" w:color="auto" w:fill="auto"/>
            <w:noWrap w:val="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9AE65F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体积（μL）</w:t>
            </w:r>
          </w:p>
        </w:tc>
        <w:tc>
          <w:tcPr>
            <w:tcW w:w="2386" w:type="dxa"/>
            <w:tcBorders>
              <w:bottom w:val="single" w:color="000000" w:sz="4" w:space="0"/>
            </w:tcBorders>
            <w:shd w:val="clear" w:color="auto" w:fill="auto"/>
            <w:noWrap w:val="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28A57C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终浓度/说明</w:t>
            </w:r>
          </w:p>
        </w:tc>
      </w:tr>
      <w:tr w14:paraId="721CF17D">
        <w:tblPrEx>
          <w:tblBorders>
            <w:top w:val="single" w:color="000000" w:sz="6" w:space="0"/>
            <w:left w:val="none" w:color="auto" w:sz="0" w:space="0"/>
            <w:bottom w:val="single" w:color="00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457" w:type="dxa"/>
            <w:noWrap w:val="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BDE96E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2× Probe qPCR Mix</w:t>
            </w:r>
          </w:p>
        </w:tc>
        <w:tc>
          <w:tcPr>
            <w:tcW w:w="1679" w:type="dxa"/>
            <w:noWrap w:val="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1B1106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10.0</w:t>
            </w:r>
          </w:p>
        </w:tc>
        <w:tc>
          <w:tcPr>
            <w:tcW w:w="2386" w:type="dxa"/>
            <w:noWrap w:val="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CE36E6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1×</w:t>
            </w:r>
          </w:p>
        </w:tc>
      </w:tr>
      <w:tr w14:paraId="1B89C56C">
        <w:tblPrEx>
          <w:tblBorders>
            <w:top w:val="single" w:color="000000" w:sz="6" w:space="0"/>
            <w:left w:val="none" w:color="auto" w:sz="0" w:space="0"/>
            <w:bottom w:val="single" w:color="00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457" w:type="dxa"/>
            <w:noWrap w:val="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B6943BE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202020"/>
                <w:sz w:val="28"/>
                <w:szCs w:val="28"/>
                <w:lang w:eastAsia="zh-CN"/>
              </w:rPr>
              <w:t>S. pyogenes</w:t>
            </w:r>
            <w:r>
              <w:rPr>
                <w:rFonts w:ascii="Times New Roman" w:hAnsi="Times New Roman"/>
                <w:color w:val="202020"/>
                <w:sz w:val="28"/>
                <w:szCs w:val="28"/>
              </w:rPr>
              <w:t xml:space="preserve"> Primer &amp; Probe Mix</w:t>
            </w:r>
          </w:p>
        </w:tc>
        <w:tc>
          <w:tcPr>
            <w:tcW w:w="1679" w:type="dxa"/>
            <w:noWrap w:val="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058A94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20202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386" w:type="dxa"/>
            <w:noWrap w:val="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6255FF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-</w:t>
            </w:r>
          </w:p>
        </w:tc>
      </w:tr>
      <w:tr w14:paraId="3EEBDC55">
        <w:tblPrEx>
          <w:tblBorders>
            <w:top w:val="single" w:color="000000" w:sz="6" w:space="0"/>
            <w:left w:val="none" w:color="auto" w:sz="0" w:space="0"/>
            <w:bottom w:val="single" w:color="00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457" w:type="dxa"/>
            <w:noWrap w:val="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F67730A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color w:val="202020"/>
                <w:sz w:val="21"/>
                <w:szCs w:val="21"/>
              </w:rPr>
              <w:t>模板/标准品/NTC</w:t>
            </w:r>
          </w:p>
        </w:tc>
        <w:tc>
          <w:tcPr>
            <w:tcW w:w="1679" w:type="dxa"/>
            <w:noWrap w:val="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EB4FFF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color w:val="202020"/>
                <w:sz w:val="21"/>
                <w:szCs w:val="21"/>
              </w:rPr>
              <w:t>2.0</w:t>
            </w:r>
          </w:p>
        </w:tc>
        <w:tc>
          <w:tcPr>
            <w:tcW w:w="2386" w:type="dxa"/>
            <w:noWrap w:val="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0CC0BC1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/>
                <w:color w:val="202020"/>
                <w:sz w:val="21"/>
                <w:szCs w:val="21"/>
                <w:lang w:eastAsia="zh-CN"/>
              </w:rPr>
              <w:t>样本 DNA 或对应对照</w:t>
            </w:r>
          </w:p>
        </w:tc>
      </w:tr>
    </w:tbl>
    <w:p w14:paraId="05ADF5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ascii="Times New Roman" w:hAnsi="Times New Roman"/>
          <w:b/>
          <w:bCs/>
          <w:color w:val="4B4B4B"/>
          <w:sz w:val="18"/>
          <w:szCs w:val="18"/>
          <w:lang w:eastAsia="zh-CN"/>
        </w:rPr>
      </w:pPr>
      <w:r>
        <w:rPr>
          <w:rFonts w:ascii="Times New Roman" w:hAnsi="Times New Roman"/>
          <w:b/>
          <w:bCs/>
          <w:color w:val="4B4B4B"/>
          <w:sz w:val="18"/>
          <w:szCs w:val="18"/>
          <w:lang w:eastAsia="zh-CN"/>
        </w:rPr>
        <w:t>【注】建议每个样本及标准品至少设置 2 个复孔。配制反应液时按实际孔数增加约 10% 余量。</w:t>
      </w:r>
    </w:p>
    <w:p w14:paraId="6D5E05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/>
          <w:b/>
          <w:bCs/>
          <w:color w:val="4B4B4B"/>
          <w:sz w:val="18"/>
          <w:szCs w:val="18"/>
          <w:lang w:val="en-US" w:eastAsia="zh-CN"/>
        </w:rPr>
      </w:pPr>
    </w:p>
    <w:p w14:paraId="058D4A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</w:p>
    <w:p w14:paraId="4F663E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</w:p>
    <w:p w14:paraId="54CA3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  <w:t>八、参考扩增程序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1"/>
        <w:gridCol w:w="974"/>
        <w:gridCol w:w="1127"/>
        <w:gridCol w:w="1715"/>
        <w:gridCol w:w="1715"/>
      </w:tblGrid>
      <w:tr w14:paraId="1563F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991" w:type="dxa"/>
            <w:noWrap/>
          </w:tcPr>
          <w:p w14:paraId="3BC76228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步骤</w:t>
            </w:r>
          </w:p>
        </w:tc>
        <w:tc>
          <w:tcPr>
            <w:tcW w:w="974" w:type="dxa"/>
            <w:noWrap/>
          </w:tcPr>
          <w:p w14:paraId="6B0D61F5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温度</w:t>
            </w:r>
          </w:p>
        </w:tc>
        <w:tc>
          <w:tcPr>
            <w:tcW w:w="1127" w:type="dxa"/>
            <w:noWrap/>
          </w:tcPr>
          <w:p w14:paraId="7B73F481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时间</w:t>
            </w:r>
          </w:p>
        </w:tc>
        <w:tc>
          <w:tcPr>
            <w:tcW w:w="1715" w:type="dxa"/>
            <w:noWrap/>
          </w:tcPr>
          <w:p w14:paraId="2A77E67C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  <w:t>循环数</w:t>
            </w:r>
          </w:p>
        </w:tc>
        <w:tc>
          <w:tcPr>
            <w:tcW w:w="1715" w:type="dxa"/>
            <w:noWrap/>
          </w:tcPr>
          <w:p w14:paraId="54D1F2FF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  <w:t>荧光采集</w:t>
            </w:r>
          </w:p>
        </w:tc>
      </w:tr>
      <w:tr w14:paraId="22E53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991" w:type="dxa"/>
            <w:noWrap/>
          </w:tcPr>
          <w:p w14:paraId="3676188A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污染消化</w:t>
            </w:r>
          </w:p>
        </w:tc>
        <w:tc>
          <w:tcPr>
            <w:tcW w:w="974" w:type="dxa"/>
            <w:noWrap/>
          </w:tcPr>
          <w:p w14:paraId="6B982944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37℃</w:t>
            </w:r>
          </w:p>
        </w:tc>
        <w:tc>
          <w:tcPr>
            <w:tcW w:w="1127" w:type="dxa"/>
            <w:noWrap/>
          </w:tcPr>
          <w:p w14:paraId="47740C51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2min</w:t>
            </w:r>
          </w:p>
        </w:tc>
        <w:tc>
          <w:tcPr>
            <w:tcW w:w="1715" w:type="dxa"/>
            <w:noWrap/>
          </w:tcPr>
          <w:p w14:paraId="4A094795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  <w:t>1</w:t>
            </w:r>
          </w:p>
        </w:tc>
        <w:tc>
          <w:tcPr>
            <w:tcW w:w="1715" w:type="dxa"/>
          </w:tcPr>
          <w:p w14:paraId="610BF5E5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  <w:t>/</w:t>
            </w:r>
          </w:p>
        </w:tc>
      </w:tr>
      <w:tr w14:paraId="30404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991" w:type="dxa"/>
            <w:noWrap/>
          </w:tcPr>
          <w:p w14:paraId="4ECB2A13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预变性</w:t>
            </w:r>
          </w:p>
        </w:tc>
        <w:tc>
          <w:tcPr>
            <w:tcW w:w="974" w:type="dxa"/>
            <w:noWrap/>
          </w:tcPr>
          <w:p w14:paraId="631A0021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95℃</w:t>
            </w:r>
          </w:p>
        </w:tc>
        <w:tc>
          <w:tcPr>
            <w:tcW w:w="1127" w:type="dxa"/>
            <w:noWrap/>
          </w:tcPr>
          <w:p w14:paraId="7783DB09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30s</w:t>
            </w:r>
          </w:p>
        </w:tc>
        <w:tc>
          <w:tcPr>
            <w:tcW w:w="1715" w:type="dxa"/>
            <w:noWrap/>
          </w:tcPr>
          <w:p w14:paraId="1876DB70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  <w:t>1</w:t>
            </w:r>
          </w:p>
        </w:tc>
        <w:tc>
          <w:tcPr>
            <w:tcW w:w="1715" w:type="dxa"/>
          </w:tcPr>
          <w:p w14:paraId="22CD1235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  <w:t>/</w:t>
            </w:r>
          </w:p>
        </w:tc>
      </w:tr>
      <w:tr w14:paraId="59F58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991" w:type="dxa"/>
            <w:noWrap/>
          </w:tcPr>
          <w:p w14:paraId="2E413493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变性</w:t>
            </w:r>
          </w:p>
        </w:tc>
        <w:tc>
          <w:tcPr>
            <w:tcW w:w="974" w:type="dxa"/>
            <w:noWrap/>
          </w:tcPr>
          <w:p w14:paraId="168AB67C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95℃</w:t>
            </w:r>
          </w:p>
        </w:tc>
        <w:tc>
          <w:tcPr>
            <w:tcW w:w="1127" w:type="dxa"/>
            <w:noWrap/>
          </w:tcPr>
          <w:p w14:paraId="628766AC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10s</w:t>
            </w:r>
          </w:p>
        </w:tc>
        <w:tc>
          <w:tcPr>
            <w:tcW w:w="1715" w:type="dxa"/>
            <w:vMerge w:val="restart"/>
            <w:noWrap/>
            <w:vAlign w:val="center"/>
          </w:tcPr>
          <w:p w14:paraId="7F7AB417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  <w:t>5</w:t>
            </w:r>
          </w:p>
        </w:tc>
        <w:tc>
          <w:tcPr>
            <w:tcW w:w="1715" w:type="dxa"/>
            <w:vMerge w:val="restart"/>
            <w:vAlign w:val="center"/>
          </w:tcPr>
          <w:p w14:paraId="215BCDDE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  <w:t>/</w:t>
            </w:r>
          </w:p>
        </w:tc>
      </w:tr>
      <w:tr w14:paraId="14294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991" w:type="dxa"/>
            <w:noWrap/>
          </w:tcPr>
          <w:p w14:paraId="3C237AB5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退火</w:t>
            </w:r>
          </w:p>
        </w:tc>
        <w:tc>
          <w:tcPr>
            <w:tcW w:w="974" w:type="dxa"/>
            <w:noWrap/>
          </w:tcPr>
          <w:p w14:paraId="382736C3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55℃</w:t>
            </w:r>
          </w:p>
        </w:tc>
        <w:tc>
          <w:tcPr>
            <w:tcW w:w="1127" w:type="dxa"/>
            <w:noWrap/>
          </w:tcPr>
          <w:p w14:paraId="536CBBD8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20s</w:t>
            </w:r>
          </w:p>
        </w:tc>
        <w:tc>
          <w:tcPr>
            <w:tcW w:w="1715" w:type="dxa"/>
            <w:vMerge w:val="continue"/>
            <w:vAlign w:val="center"/>
          </w:tcPr>
          <w:p w14:paraId="0D6F219E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</w:p>
        </w:tc>
        <w:tc>
          <w:tcPr>
            <w:tcW w:w="1715" w:type="dxa"/>
            <w:vMerge w:val="continue"/>
            <w:vAlign w:val="center"/>
          </w:tcPr>
          <w:p w14:paraId="7B695D32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</w:p>
        </w:tc>
      </w:tr>
      <w:tr w14:paraId="72662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991" w:type="dxa"/>
            <w:noWrap/>
          </w:tcPr>
          <w:p w14:paraId="0F83E8D0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延伸</w:t>
            </w:r>
          </w:p>
        </w:tc>
        <w:tc>
          <w:tcPr>
            <w:tcW w:w="974" w:type="dxa"/>
            <w:noWrap/>
          </w:tcPr>
          <w:p w14:paraId="52871F05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72℃</w:t>
            </w:r>
          </w:p>
        </w:tc>
        <w:tc>
          <w:tcPr>
            <w:tcW w:w="1127" w:type="dxa"/>
            <w:noWrap/>
          </w:tcPr>
          <w:p w14:paraId="24BDEA25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20s</w:t>
            </w:r>
          </w:p>
        </w:tc>
        <w:tc>
          <w:tcPr>
            <w:tcW w:w="1715" w:type="dxa"/>
            <w:vMerge w:val="continue"/>
            <w:vAlign w:val="center"/>
          </w:tcPr>
          <w:p w14:paraId="24CC536D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</w:p>
        </w:tc>
        <w:tc>
          <w:tcPr>
            <w:tcW w:w="1715" w:type="dxa"/>
            <w:vMerge w:val="continue"/>
            <w:vAlign w:val="center"/>
          </w:tcPr>
          <w:p w14:paraId="4DA94919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</w:p>
        </w:tc>
      </w:tr>
      <w:tr w14:paraId="783B6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991" w:type="dxa"/>
            <w:noWrap/>
          </w:tcPr>
          <w:p w14:paraId="55347A46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变性</w:t>
            </w:r>
          </w:p>
        </w:tc>
        <w:tc>
          <w:tcPr>
            <w:tcW w:w="974" w:type="dxa"/>
            <w:noWrap/>
          </w:tcPr>
          <w:p w14:paraId="5943A7C5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95℃</w:t>
            </w:r>
          </w:p>
        </w:tc>
        <w:tc>
          <w:tcPr>
            <w:tcW w:w="1127" w:type="dxa"/>
            <w:noWrap/>
          </w:tcPr>
          <w:p w14:paraId="13881054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10s</w:t>
            </w:r>
          </w:p>
        </w:tc>
        <w:tc>
          <w:tcPr>
            <w:tcW w:w="1715" w:type="dxa"/>
            <w:vMerge w:val="restart"/>
            <w:noWrap/>
            <w:vAlign w:val="center"/>
          </w:tcPr>
          <w:p w14:paraId="65E71F3C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  <w:t>40</w:t>
            </w:r>
          </w:p>
        </w:tc>
        <w:tc>
          <w:tcPr>
            <w:tcW w:w="1715" w:type="dxa"/>
            <w:vMerge w:val="restart"/>
            <w:vAlign w:val="center"/>
          </w:tcPr>
          <w:p w14:paraId="6EA62DE4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  <w:t>采集</w:t>
            </w:r>
          </w:p>
        </w:tc>
      </w:tr>
      <w:tr w14:paraId="460C5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991" w:type="dxa"/>
            <w:noWrap/>
          </w:tcPr>
          <w:p w14:paraId="1B371BD5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退火、延伸及检测荧光</w:t>
            </w:r>
          </w:p>
        </w:tc>
        <w:tc>
          <w:tcPr>
            <w:tcW w:w="974" w:type="dxa"/>
            <w:noWrap/>
          </w:tcPr>
          <w:p w14:paraId="2C337CD8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60℃</w:t>
            </w:r>
          </w:p>
        </w:tc>
        <w:tc>
          <w:tcPr>
            <w:tcW w:w="1127" w:type="dxa"/>
            <w:noWrap/>
          </w:tcPr>
          <w:p w14:paraId="4E49225D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30s</w:t>
            </w:r>
          </w:p>
        </w:tc>
        <w:tc>
          <w:tcPr>
            <w:tcW w:w="1715" w:type="dxa"/>
            <w:vMerge w:val="continue"/>
          </w:tcPr>
          <w:p w14:paraId="66B836F4">
            <w:pPr>
              <w:widowControl w:val="0"/>
              <w:spacing w:line="240" w:lineRule="auto"/>
              <w:jc w:val="both"/>
              <w:rPr>
                <w:rFonts w:ascii="Times New Roman" w:hAnsi="Times New Roman" w:eastAsia="宋体"/>
                <w:lang w:eastAsia="zh-CN"/>
              </w:rPr>
            </w:pPr>
          </w:p>
        </w:tc>
        <w:tc>
          <w:tcPr>
            <w:tcW w:w="1715" w:type="dxa"/>
            <w:vMerge w:val="continue"/>
          </w:tcPr>
          <w:p w14:paraId="4421216E">
            <w:pPr>
              <w:widowControl w:val="0"/>
              <w:spacing w:line="240" w:lineRule="auto"/>
              <w:jc w:val="both"/>
              <w:rPr>
                <w:rFonts w:ascii="Times New Roman" w:hAnsi="Times New Roman" w:eastAsia="宋体"/>
                <w:lang w:eastAsia="zh-CN"/>
              </w:rPr>
            </w:pPr>
          </w:p>
        </w:tc>
      </w:tr>
    </w:tbl>
    <w:p w14:paraId="7639C3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ascii="Times New Roman" w:hAnsi="Times New Roman"/>
          <w:b/>
          <w:bCs/>
          <w:color w:val="4B4B4B"/>
          <w:sz w:val="16"/>
          <w:lang w:eastAsia="zh-CN"/>
        </w:rPr>
      </w:pPr>
    </w:p>
    <w:tbl>
      <w:tblPr>
        <w:tblStyle w:val="6"/>
        <w:tblW w:w="8568" w:type="dxa"/>
        <w:tblInd w:w="-10" w:type="dxa"/>
        <w:tblBorders>
          <w:top w:val="single" w:color="000000" w:sz="6" w:space="0"/>
          <w:left w:val="none" w:color="auto" w:sz="0" w:space="0"/>
          <w:bottom w:val="single" w:color="000000" w:sz="6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0"/>
        <w:gridCol w:w="1393"/>
        <w:gridCol w:w="1592"/>
        <w:gridCol w:w="1493"/>
        <w:gridCol w:w="1990"/>
      </w:tblGrid>
      <w:tr w14:paraId="31371200">
        <w:tblPrEx>
          <w:tblBorders>
            <w:top w:val="single" w:color="000000" w:sz="6" w:space="0"/>
            <w:left w:val="none" w:color="auto" w:sz="0" w:space="0"/>
            <w:bottom w:val="single" w:color="00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100" w:type="dxa"/>
            <w:tcBorders>
              <w:bottom w:val="single" w:color="000000" w:sz="4" w:space="0"/>
            </w:tcBorders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CF1D5B4">
            <w:pPr>
              <w:spacing w:after="0" w:line="240" w:lineRule="auto"/>
              <w:rPr>
                <w:rFonts w:ascii="Times New Roman" w:hAnsi="Times New Roman"/>
                <w:b w:val="0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color w:val="auto"/>
                <w:sz w:val="28"/>
                <w:szCs w:val="28"/>
                <w:highlight w:val="none"/>
              </w:rPr>
              <w:t>循</w:t>
            </w:r>
            <w:r>
              <w:rPr>
                <w:rFonts w:ascii="Times New Roman" w:hAnsi="Times New Roman"/>
                <w:b w:val="0"/>
                <w:bCs/>
                <w:color w:val="auto"/>
                <w:sz w:val="28"/>
                <w:szCs w:val="28"/>
                <w:highlight w:val="none"/>
              </w:rPr>
              <w:t>环步骤</w:t>
            </w:r>
          </w:p>
        </w:tc>
        <w:tc>
          <w:tcPr>
            <w:tcW w:w="1393" w:type="dxa"/>
            <w:tcBorders>
              <w:bottom w:val="single" w:color="000000" w:sz="4" w:space="0"/>
            </w:tcBorders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A0544D">
            <w:pPr>
              <w:spacing w:after="0" w:line="240" w:lineRule="auto"/>
              <w:rPr>
                <w:rFonts w:ascii="Times New Roman" w:hAnsi="Times New Roman"/>
                <w:b w:val="0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8"/>
                <w:szCs w:val="28"/>
                <w:highlight w:val="none"/>
              </w:rPr>
              <w:t>温度</w:t>
            </w:r>
          </w:p>
        </w:tc>
        <w:tc>
          <w:tcPr>
            <w:tcW w:w="1592" w:type="dxa"/>
            <w:tcBorders>
              <w:bottom w:val="single" w:color="000000" w:sz="4" w:space="0"/>
            </w:tcBorders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CED5D4">
            <w:pPr>
              <w:spacing w:after="0" w:line="240" w:lineRule="auto"/>
              <w:rPr>
                <w:rFonts w:ascii="Times New Roman" w:hAnsi="Times New Roman"/>
                <w:b w:val="0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8"/>
                <w:szCs w:val="28"/>
                <w:highlight w:val="none"/>
              </w:rPr>
              <w:t>时间</w:t>
            </w:r>
          </w:p>
        </w:tc>
        <w:tc>
          <w:tcPr>
            <w:tcW w:w="1493" w:type="dxa"/>
            <w:tcBorders>
              <w:bottom w:val="single" w:color="000000" w:sz="4" w:space="0"/>
            </w:tcBorders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AEE0746">
            <w:pPr>
              <w:spacing w:after="0" w:line="240" w:lineRule="auto"/>
              <w:rPr>
                <w:rFonts w:ascii="Times New Roman" w:hAnsi="Times New Roman"/>
                <w:b w:val="0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8"/>
                <w:szCs w:val="28"/>
                <w:highlight w:val="none"/>
              </w:rPr>
              <w:t>循环数</w:t>
            </w:r>
          </w:p>
        </w:tc>
        <w:tc>
          <w:tcPr>
            <w:tcW w:w="1990" w:type="dxa"/>
            <w:tcBorders>
              <w:bottom w:val="single" w:color="000000" w:sz="4" w:space="0"/>
            </w:tcBorders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899D96E">
            <w:pPr>
              <w:spacing w:after="0" w:line="240" w:lineRule="auto"/>
              <w:rPr>
                <w:rFonts w:ascii="Times New Roman" w:hAnsi="Times New Roman"/>
                <w:b w:val="0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8"/>
                <w:szCs w:val="28"/>
                <w:highlight w:val="none"/>
              </w:rPr>
              <w:t>采集荧光</w:t>
            </w:r>
          </w:p>
        </w:tc>
      </w:tr>
      <w:tr w14:paraId="41A95324">
        <w:tblPrEx>
          <w:tblBorders>
            <w:top w:val="single" w:color="000000" w:sz="6" w:space="0"/>
            <w:left w:val="none" w:color="auto" w:sz="0" w:space="0"/>
            <w:bottom w:val="single" w:color="00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21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8BA5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预变性</w:t>
            </w:r>
          </w:p>
        </w:tc>
        <w:tc>
          <w:tcPr>
            <w:tcW w:w="1393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FA697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95℃</w:t>
            </w:r>
          </w:p>
        </w:tc>
        <w:tc>
          <w:tcPr>
            <w:tcW w:w="15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4FC86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3 min</w:t>
            </w:r>
          </w:p>
        </w:tc>
        <w:tc>
          <w:tcPr>
            <w:tcW w:w="1493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6C043E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1</w:t>
            </w:r>
          </w:p>
        </w:tc>
        <w:tc>
          <w:tcPr>
            <w:tcW w:w="199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FA9EC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否</w:t>
            </w:r>
          </w:p>
        </w:tc>
      </w:tr>
      <w:tr w14:paraId="5303A9AB">
        <w:tblPrEx>
          <w:tblBorders>
            <w:top w:val="single" w:color="000000" w:sz="6" w:space="0"/>
            <w:left w:val="none" w:color="auto" w:sz="0" w:space="0"/>
            <w:bottom w:val="single" w:color="00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21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7E75D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变性</w:t>
            </w:r>
          </w:p>
        </w:tc>
        <w:tc>
          <w:tcPr>
            <w:tcW w:w="1393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07480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95℃</w:t>
            </w:r>
          </w:p>
        </w:tc>
        <w:tc>
          <w:tcPr>
            <w:tcW w:w="15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C6265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10 sec</w:t>
            </w:r>
          </w:p>
        </w:tc>
        <w:tc>
          <w:tcPr>
            <w:tcW w:w="1493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5D0FB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40</w:t>
            </w:r>
          </w:p>
        </w:tc>
        <w:tc>
          <w:tcPr>
            <w:tcW w:w="199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D4534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否</w:t>
            </w:r>
          </w:p>
        </w:tc>
      </w:tr>
      <w:tr w14:paraId="7C0B010C">
        <w:tblPrEx>
          <w:tblBorders>
            <w:top w:val="single" w:color="000000" w:sz="6" w:space="0"/>
            <w:left w:val="none" w:color="auto" w:sz="0" w:space="0"/>
            <w:bottom w:val="single" w:color="00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1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E90DB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退火/延伸</w:t>
            </w:r>
          </w:p>
        </w:tc>
        <w:tc>
          <w:tcPr>
            <w:tcW w:w="1393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6421A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60℃</w:t>
            </w:r>
          </w:p>
        </w:tc>
        <w:tc>
          <w:tcPr>
            <w:tcW w:w="15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11233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30 sec</w:t>
            </w:r>
          </w:p>
        </w:tc>
        <w:tc>
          <w:tcPr>
            <w:tcW w:w="1493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23D5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40</w:t>
            </w:r>
          </w:p>
        </w:tc>
        <w:tc>
          <w:tcPr>
            <w:tcW w:w="199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7289C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是</w:t>
            </w:r>
          </w:p>
        </w:tc>
      </w:tr>
    </w:tbl>
    <w:p w14:paraId="6DFE49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default" w:ascii="Times New Roman" w:hAnsi="Times New Roman"/>
          <w:b/>
          <w:bCs/>
          <w:color w:val="4B4B4B"/>
          <w:sz w:val="28"/>
          <w:szCs w:val="28"/>
          <w:lang w:val="en-US" w:eastAsia="zh-CN"/>
        </w:rPr>
      </w:pPr>
      <w:r>
        <w:rPr>
          <w:rFonts w:hint="default" w:ascii="Times New Roman" w:hAnsi="Times New Roman"/>
          <w:b/>
          <w:bCs/>
          <w:color w:val="4B4B4B"/>
          <w:sz w:val="18"/>
          <w:szCs w:val="18"/>
          <w:lang w:val="en-US" w:eastAsia="zh-CN"/>
        </w:rPr>
        <w:t>【注】荧光通道按探针标记选择（常用 FAM 通道）。如仪器要求，应设置 passive reference 为 None 或按所用 Mix 说明设置。</w:t>
      </w:r>
    </w:p>
    <w:p w14:paraId="001E22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  <w:t>九、定量分析</w:t>
      </w:r>
    </w:p>
    <w:p w14:paraId="1F16EED1">
      <w:pPr>
        <w:spacing w:line="283" w:lineRule="auto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color w:val="202020"/>
          <w:sz w:val="28"/>
          <w:szCs w:val="28"/>
          <w:lang w:eastAsia="zh-CN"/>
        </w:rPr>
        <w:t>1.将 5 个梯度标准品与待测样本同时扩增，以标准品 log10(拷贝数/反应) 为横坐标、Ct 值为纵坐标建立标准曲线。</w:t>
      </w:r>
    </w:p>
    <w:p w14:paraId="4DD491A8">
      <w:pPr>
        <w:spacing w:line="283" w:lineRule="auto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color w:val="202020"/>
          <w:sz w:val="28"/>
          <w:szCs w:val="28"/>
          <w:lang w:eastAsia="zh-CN"/>
        </w:rPr>
        <w:t>2.建议标准曲线相关系数 R² ≥ 0.98，扩增效率处于 90%～110%；复孔 Ct 差通常应 ≤ 0.5。</w:t>
      </w:r>
    </w:p>
    <w:p w14:paraId="6EE4B810">
      <w:pPr>
        <w:spacing w:line="283" w:lineRule="auto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color w:val="202020"/>
          <w:sz w:val="28"/>
          <w:szCs w:val="28"/>
          <w:lang w:eastAsia="zh-CN"/>
        </w:rPr>
        <w:t>3.仪器软件依据标准曲线给出样本拷贝数。换算至原始样本时，应结合洗脱体积、反应加样体积、提取起始量及稀释倍数计算。</w:t>
      </w:r>
    </w:p>
    <w:p w14:paraId="072C175F">
      <w:pPr>
        <w:spacing w:line="283" w:lineRule="auto"/>
        <w:rPr>
          <w:rFonts w:ascii="Times New Roman" w:hAnsi="Times New Roman"/>
          <w:color w:val="202020"/>
          <w:sz w:val="28"/>
          <w:szCs w:val="28"/>
          <w:lang w:eastAsia="zh-CN"/>
        </w:rPr>
      </w:pPr>
      <w:r>
        <w:rPr>
          <w:rFonts w:ascii="Times New Roman" w:hAnsi="Times New Roman"/>
          <w:color w:val="202020"/>
          <w:sz w:val="28"/>
          <w:szCs w:val="28"/>
          <w:lang w:eastAsia="zh-CN"/>
        </w:rPr>
        <w:t>4.结果可按 copies/g、copies/mL，或经总细菌量、DNA 质量等归一化后报告。跨批次比较时应采用一致的提取与分析流程。</w:t>
      </w:r>
    </w:p>
    <w:p w14:paraId="6DF993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  <w:t>十、结果判定与质量控制</w:t>
      </w:r>
    </w:p>
    <w:tbl>
      <w:tblPr>
        <w:tblStyle w:val="6"/>
        <w:tblW w:w="8738" w:type="dxa"/>
        <w:tblInd w:w="100" w:type="dxa"/>
        <w:tblBorders>
          <w:top w:val="single" w:color="000000" w:sz="6" w:space="0"/>
          <w:left w:val="none" w:color="auto" w:sz="0" w:space="0"/>
          <w:bottom w:val="single" w:color="000000" w:sz="6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3518"/>
        <w:gridCol w:w="4277"/>
      </w:tblGrid>
      <w:tr w14:paraId="4F815431">
        <w:tblPrEx>
          <w:tblBorders>
            <w:top w:val="single" w:color="000000" w:sz="6" w:space="0"/>
            <w:left w:val="none" w:color="auto" w:sz="0" w:space="0"/>
            <w:bottom w:val="single" w:color="00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3" w:type="dxa"/>
            <w:tcBorders>
              <w:bottom w:val="single" w:color="000000" w:sz="4" w:space="0"/>
            </w:tcBorders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AAF420E">
            <w:pPr>
              <w:spacing w:after="0" w:line="240" w:lineRule="auto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color w:val="202020"/>
                <w:sz w:val="24"/>
                <w:szCs w:val="24"/>
              </w:rPr>
              <w:t>项目</w:t>
            </w:r>
          </w:p>
        </w:tc>
        <w:tc>
          <w:tcPr>
            <w:tcW w:w="3518" w:type="dxa"/>
            <w:tcBorders>
              <w:bottom w:val="single" w:color="000000" w:sz="4" w:space="0"/>
            </w:tcBorders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085D15A">
            <w:pPr>
              <w:spacing w:after="0" w:line="240" w:lineRule="auto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color w:val="202020"/>
                <w:sz w:val="24"/>
                <w:szCs w:val="24"/>
              </w:rPr>
              <w:t>合格标准</w:t>
            </w:r>
          </w:p>
        </w:tc>
        <w:tc>
          <w:tcPr>
            <w:tcW w:w="4277" w:type="dxa"/>
            <w:tcBorders>
              <w:bottom w:val="single" w:color="000000" w:sz="4" w:space="0"/>
            </w:tcBorders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8BD415D">
            <w:pPr>
              <w:spacing w:after="0" w:line="240" w:lineRule="auto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color w:val="202020"/>
                <w:sz w:val="24"/>
                <w:szCs w:val="24"/>
              </w:rPr>
              <w:t>处理建议</w:t>
            </w:r>
          </w:p>
        </w:tc>
      </w:tr>
      <w:tr w14:paraId="5EB4828C">
        <w:tblPrEx>
          <w:tblBorders>
            <w:top w:val="single" w:color="000000" w:sz="6" w:space="0"/>
            <w:left w:val="none" w:color="auto" w:sz="0" w:space="0"/>
            <w:bottom w:val="single" w:color="00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3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87B9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02020"/>
                <w:sz w:val="24"/>
                <w:szCs w:val="24"/>
              </w:rPr>
              <w:t>NTC</w:t>
            </w:r>
          </w:p>
        </w:tc>
        <w:tc>
          <w:tcPr>
            <w:tcW w:w="351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4E87F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color w:val="202020"/>
                <w:sz w:val="24"/>
                <w:szCs w:val="24"/>
                <w:lang w:eastAsia="zh-CN"/>
              </w:rPr>
              <w:t>无典型扩增曲线；Ct 未检出</w:t>
            </w:r>
          </w:p>
        </w:tc>
        <w:tc>
          <w:tcPr>
            <w:tcW w:w="427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66C2A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color w:val="202020"/>
                <w:sz w:val="24"/>
                <w:szCs w:val="24"/>
                <w:lang w:eastAsia="zh-CN"/>
              </w:rPr>
              <w:t>若出现稳定扩增，排查污染并重做</w:t>
            </w:r>
          </w:p>
        </w:tc>
      </w:tr>
      <w:tr w14:paraId="415E7CC9">
        <w:tblPrEx>
          <w:tblBorders>
            <w:top w:val="single" w:color="000000" w:sz="6" w:space="0"/>
            <w:left w:val="none" w:color="auto" w:sz="0" w:space="0"/>
            <w:bottom w:val="single" w:color="00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3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E012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02020"/>
                <w:sz w:val="24"/>
                <w:szCs w:val="24"/>
              </w:rPr>
              <w:t>标准品</w:t>
            </w:r>
          </w:p>
        </w:tc>
        <w:tc>
          <w:tcPr>
            <w:tcW w:w="351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076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color w:val="202020"/>
                <w:sz w:val="24"/>
                <w:szCs w:val="24"/>
                <w:lang w:eastAsia="zh-CN"/>
              </w:rPr>
              <w:t>扩增曲线呈规则梯度；R² ≥ 0.98</w:t>
            </w:r>
          </w:p>
        </w:tc>
        <w:tc>
          <w:tcPr>
            <w:tcW w:w="427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D28CD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color w:val="202020"/>
                <w:sz w:val="24"/>
                <w:szCs w:val="24"/>
                <w:lang w:eastAsia="zh-CN"/>
              </w:rPr>
              <w:t>不合格时检查配液、稀释与仪器设置</w:t>
            </w:r>
          </w:p>
        </w:tc>
      </w:tr>
      <w:tr w14:paraId="0E06E2D4">
        <w:tblPrEx>
          <w:tblBorders>
            <w:top w:val="single" w:color="000000" w:sz="6" w:space="0"/>
            <w:left w:val="none" w:color="auto" w:sz="0" w:space="0"/>
            <w:bottom w:val="single" w:color="00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3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F2C50C7">
            <w:pPr>
              <w:spacing w:after="0" w:line="240" w:lineRule="auto"/>
              <w:rPr>
                <w:rFonts w:hint="eastAsia" w:ascii="Times New Roman" w:hAnsi="Times New Roman" w:eastAsia="宋体"/>
                <w:color w:val="20202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color w:val="202020"/>
                <w:sz w:val="24"/>
                <w:szCs w:val="24"/>
                <w:lang w:val="en-US" w:eastAsia="zh-CN"/>
              </w:rPr>
              <w:t>项目</w:t>
            </w:r>
          </w:p>
        </w:tc>
        <w:tc>
          <w:tcPr>
            <w:tcW w:w="351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B8B3BA8">
            <w:pPr>
              <w:spacing w:after="0" w:line="240" w:lineRule="auto"/>
              <w:rPr>
                <w:rFonts w:hint="default" w:ascii="Times New Roman" w:hAnsi="Times New Roman"/>
                <w:color w:val="20202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color w:val="202020"/>
                <w:sz w:val="24"/>
                <w:szCs w:val="24"/>
                <w:lang w:val="en-US" w:eastAsia="zh-CN"/>
              </w:rPr>
              <w:t>合格标准</w:t>
            </w:r>
          </w:p>
        </w:tc>
        <w:tc>
          <w:tcPr>
            <w:tcW w:w="427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299B4D9">
            <w:pPr>
              <w:spacing w:after="0" w:line="240" w:lineRule="auto"/>
              <w:rPr>
                <w:rFonts w:hint="default" w:ascii="Times New Roman" w:hAnsi="Times New Roman"/>
                <w:color w:val="20202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color w:val="202020"/>
                <w:sz w:val="24"/>
                <w:szCs w:val="24"/>
                <w:lang w:val="en-US" w:eastAsia="zh-CN"/>
              </w:rPr>
              <w:t>处理意见</w:t>
            </w:r>
          </w:p>
        </w:tc>
      </w:tr>
      <w:tr w14:paraId="53201605">
        <w:tblPrEx>
          <w:tblBorders>
            <w:top w:val="single" w:color="000000" w:sz="6" w:space="0"/>
            <w:left w:val="none" w:color="auto" w:sz="0" w:space="0"/>
            <w:bottom w:val="single" w:color="00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3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0E5F3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02020"/>
                <w:sz w:val="24"/>
                <w:szCs w:val="24"/>
              </w:rPr>
              <w:t>样本</w:t>
            </w:r>
          </w:p>
        </w:tc>
        <w:tc>
          <w:tcPr>
            <w:tcW w:w="351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0C8BA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color w:val="202020"/>
                <w:sz w:val="24"/>
                <w:szCs w:val="24"/>
                <w:lang w:eastAsia="zh-CN"/>
              </w:rPr>
              <w:t>Ct 位于标准曲线有效范围内</w:t>
            </w:r>
          </w:p>
        </w:tc>
        <w:tc>
          <w:tcPr>
            <w:tcW w:w="427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FB8E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color w:val="202020"/>
                <w:sz w:val="24"/>
                <w:szCs w:val="24"/>
                <w:lang w:eastAsia="zh-CN"/>
              </w:rPr>
              <w:t>高于上限时稀释；低于下限时报告低于定量限</w:t>
            </w:r>
          </w:p>
        </w:tc>
      </w:tr>
    </w:tbl>
    <w:p w14:paraId="514784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  <w:t>十一、适用机型</w:t>
      </w:r>
    </w:p>
    <w:p w14:paraId="7097C7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ascii="Times New Roman" w:hAnsi="Times New Roman"/>
          <w:color w:val="202020"/>
          <w:sz w:val="28"/>
          <w:szCs w:val="28"/>
          <w:lang w:eastAsia="zh-CN"/>
        </w:rPr>
      </w:pPr>
      <w:r>
        <w:rPr>
          <w:rFonts w:ascii="Times New Roman" w:hAnsi="Times New Roman"/>
          <w:color w:val="202020"/>
          <w:sz w:val="28"/>
          <w:szCs w:val="28"/>
        </w:rPr>
        <w:t>适用于具备相应荧光通道的常规实时荧光定量 PCR 仪，例如 Applied Biosystems 7500/QuantStudio 系列、Bio-Rad CFX96/CFX384、Roche LightCycler 480/96、Qiagen Rotor-Gene Q 等。</w:t>
      </w:r>
      <w:r>
        <w:rPr>
          <w:rFonts w:ascii="Times New Roman" w:hAnsi="Times New Roman"/>
          <w:color w:val="202020"/>
          <w:sz w:val="28"/>
          <w:szCs w:val="28"/>
          <w:lang w:eastAsia="zh-CN"/>
        </w:rPr>
        <w:t>使用前请确认反应体积、耗材及荧光通道与仪器兼容。</w:t>
      </w:r>
    </w:p>
    <w:p w14:paraId="0743FD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default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  <w:t>十二、</w:t>
      </w:r>
      <w:r>
        <w:rPr>
          <w:rFonts w:hint="default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  <w:t>重要说明</w:t>
      </w:r>
    </w:p>
    <w:p w14:paraId="333976C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default" w:ascii="Times New Roman" w:hAnsi="Times New Roman"/>
          <w:b/>
          <w:bCs/>
          <w:color w:val="202020"/>
          <w:sz w:val="28"/>
          <w:szCs w:val="28"/>
          <w:lang w:val="en-US" w:eastAsia="zh-CN"/>
        </w:rPr>
      </w:pPr>
      <w:r>
        <w:rPr>
          <w:rFonts w:hint="default" w:ascii="Times New Roman" w:hAnsi="Times New Roman"/>
          <w:b/>
          <w:bCs/>
          <w:color w:val="202020"/>
          <w:sz w:val="28"/>
          <w:szCs w:val="28"/>
          <w:lang w:val="en-US" w:eastAsia="zh-CN"/>
        </w:rPr>
        <w:t>本说明书为按参考版式制作的科研产品技术模板。产品编号、装量、有效期、靶序列、定量范围、检出限及性能指标须由实际生产方完成设计验证后确认，并以最终标签和质量文件为准。</w:t>
      </w:r>
    </w:p>
    <w:sectPr>
      <w:headerReference r:id="rId5" w:type="default"/>
      <w:pgSz w:w="11906" w:h="16838"/>
      <w:pgMar w:top="1440" w:right="1800" w:bottom="1440" w:left="1800" w:header="851" w:footer="680" w:gutter="0"/>
      <w:pgNumType w:fmt="decimal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E4C1E5">
    <w:pPr>
      <w:pStyle w:val="3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1993900</wp:posOffset>
              </wp:positionH>
              <wp:positionV relativeFrom="paragraph">
                <wp:posOffset>-259715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44CCFF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57pt;margin-top:-20.4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ExAo9gAAAALAQAADwAAAAAAAAABACAAAAAiAAAAZHJzL2Rvd25yZXYueG1s&#10;UEsBAhQAFAAAAAgAh07iQGuF+fsxAgAAYQQAAA4AAAAAAAAAAQAgAAAAJ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44CCFF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楷体" w:hAnsi="楷体" w:eastAsia="楷体" w:cs="楷体"/>
      </w:rPr>
      <w:t xml:space="preserve">宁波明舟生物科技有限公司     </w:t>
    </w:r>
    <w:r>
      <w:rPr>
        <w:rFonts w:hint="eastAsia" w:ascii="楷体" w:hAnsi="楷体" w:eastAsia="楷体" w:cs="楷体"/>
        <w:lang w:val="en-US" w:eastAsia="zh-CN"/>
      </w:rPr>
      <w:t xml:space="preserve">   </w:t>
    </w:r>
    <w:r>
      <w:rPr>
        <w:rFonts w:hint="eastAsia" w:ascii="楷体" w:hAnsi="楷体" w:eastAsia="楷体" w:cs="楷体"/>
      </w:rPr>
      <w:t xml:space="preserve"> 电话：0574-87157013     网址：</w:t>
    </w:r>
    <w:r>
      <w:fldChar w:fldCharType="begin"/>
    </w:r>
    <w:r>
      <w:instrText xml:space="preserve"> HYPERLINK "https://www.mingzhoubio.com/" </w:instrText>
    </w:r>
    <w:r>
      <w:fldChar w:fldCharType="separate"/>
    </w:r>
    <w:r>
      <w:rPr>
        <w:rStyle w:val="10"/>
        <w:rFonts w:hint="eastAsia" w:ascii="楷体" w:hAnsi="楷体" w:eastAsia="楷体" w:cs="楷体"/>
      </w:rPr>
      <w:t>https://www.mingzho</w:t>
    </w:r>
    <w:r>
      <w:rPr>
        <w:rStyle w:val="10"/>
        <w:rFonts w:hint="eastAsia"/>
      </w:rPr>
      <w:t>u</w:t>
    </w:r>
    <w:r>
      <w:rPr>
        <w:rStyle w:val="10"/>
        <w:rFonts w:hint="eastAsia" w:ascii="楷体" w:hAnsi="楷体" w:eastAsia="楷体" w:cs="楷体"/>
      </w:rPr>
      <w:t>bio.com/</w:t>
    </w:r>
    <w:r>
      <w:rPr>
        <w:rStyle w:val="10"/>
        <w:rFonts w:hint="eastAsia" w:ascii="楷体" w:hAnsi="楷体" w:eastAsia="楷体" w:cs="楷体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70B07A">
    <w:pPr>
      <w:pStyle w:val="4"/>
      <w:pBdr>
        <w:bottom w:val="none" w:color="auto" w:sz="0" w:space="1"/>
      </w:pBdr>
      <w:jc w:val="right"/>
      <w:rPr>
        <w:rFonts w:hint="eastAsia" w:ascii="楷体" w:hAnsi="楷体" w:eastAsia="楷体" w:cs="楷体"/>
        <w:sz w:val="20"/>
        <w:szCs w:val="20"/>
      </w:rPr>
    </w:pPr>
    <w:r>
      <w:rPr>
        <w:rFonts w:hint="eastAsia" w:ascii="楷体" w:hAnsi="楷体" w:eastAsia="楷体" w:cs="楷体"/>
        <w:sz w:val="20"/>
        <w:szCs w:val="20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59690</wp:posOffset>
          </wp:positionH>
          <wp:positionV relativeFrom="paragraph">
            <wp:posOffset>-13970</wp:posOffset>
          </wp:positionV>
          <wp:extent cx="1297305" cy="366395"/>
          <wp:effectExtent l="0" t="0" r="17145" b="14605"/>
          <wp:wrapTopAndBottom/>
          <wp:docPr id="20" name="图片 20" descr="明舟生物logo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图片 20" descr="明舟生物logo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7305" cy="366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ascii="楷体" w:hAnsi="楷体" w:eastAsia="楷体" w:cs="楷体"/>
        <w:sz w:val="20"/>
        <w:szCs w:val="20"/>
      </w:rPr>
      <w:t>Ningbo Mingzhou Biotechnology Co., Ltd.</w:t>
    </w:r>
  </w:p>
  <w:p w14:paraId="5E62B4A5">
    <w:pPr>
      <w:pStyle w:val="4"/>
      <w:pBdr>
        <w:bottom w:val="none" w:color="auto" w:sz="0" w:space="1"/>
      </w:pBdr>
      <w:jc w:val="center"/>
      <w:rPr>
        <w:rFonts w:hint="eastAsia" w:ascii="楷体" w:hAnsi="楷体" w:eastAsia="楷体" w:cs="楷体"/>
        <w:sz w:val="20"/>
        <w:szCs w:val="20"/>
      </w:rPr>
    </w:pPr>
    <w:r>
      <w:rPr>
        <w:rFonts w:hint="eastAsia" w:ascii="楷体" w:hAnsi="楷体" w:eastAsia="楷体" w:cs="楷体"/>
        <w:sz w:val="20"/>
        <w:szCs w:val="20"/>
        <w:lang w:val="en-US" w:eastAsia="zh-CN"/>
      </w:rPr>
      <w:t xml:space="preserve">                                       </w:t>
    </w:r>
    <w:r>
      <w:rPr>
        <w:rFonts w:hint="eastAsia" w:ascii="楷体" w:hAnsi="楷体" w:eastAsia="楷体" w:cs="楷体"/>
        <w:sz w:val="20"/>
        <w:szCs w:val="20"/>
      </w:rPr>
      <w:t>Business lnquiry:+86-0574-87157013</w:t>
    </w:r>
  </w:p>
  <w:p w14:paraId="67462451">
    <w:pPr>
      <w:pStyle w:val="4"/>
      <w:pBdr>
        <w:bottom w:val="none" w:color="auto" w:sz="0" w:space="1"/>
      </w:pBdr>
      <w:jc w:val="center"/>
    </w:pPr>
    <w:r>
      <w:rPr>
        <w:rFonts w:hint="eastAsia" w:asciiTheme="minorEastAsia" w:hAnsiTheme="minorEastAsia" w:eastAsiaTheme="minorEastAsia" w:cstheme="minorEastAsia"/>
        <w:sz w:val="28"/>
        <w:szCs w:val="28"/>
      </w:rPr>
      <w:drawing>
        <wp:anchor distT="0" distB="0" distL="0" distR="0" simplePos="0" relativeHeight="251660288" behindDoc="1" locked="0" layoutInCell="1" allowOverlap="1">
          <wp:simplePos x="0" y="0"/>
          <wp:positionH relativeFrom="column">
            <wp:posOffset>13335</wp:posOffset>
          </wp:positionH>
          <wp:positionV relativeFrom="paragraph">
            <wp:posOffset>201295</wp:posOffset>
          </wp:positionV>
          <wp:extent cx="5243195" cy="132080"/>
          <wp:effectExtent l="0" t="0" r="14605" b="1270"/>
          <wp:wrapThrough wrapText="bothSides">
            <wp:wrapPolygon>
              <wp:start x="0" y="0"/>
              <wp:lineTo x="0" y="18692"/>
              <wp:lineTo x="21503" y="18692"/>
              <wp:lineTo x="21503" y="0"/>
              <wp:lineTo x="0" y="0"/>
            </wp:wrapPolygon>
          </wp:wrapThrough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243195" cy="132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ascii="楷体" w:hAnsi="楷体" w:eastAsia="楷体" w:cs="楷体"/>
        <w:sz w:val="20"/>
        <w:szCs w:val="20"/>
        <w:lang w:val="en-US" w:eastAsia="zh-CN"/>
      </w:rPr>
      <w:t xml:space="preserve">                              Email:mingzhoubio@163.com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174830">
    <w:pPr>
      <w:pStyle w:val="4"/>
    </w:pPr>
    <w:r>
      <w:rPr>
        <w:rFonts w:hint="eastAsia" w:asciiTheme="minorEastAsia" w:hAnsiTheme="minorEastAsia" w:eastAsiaTheme="minorEastAsia" w:cstheme="minorEastAsia"/>
        <w:sz w:val="28"/>
        <w:szCs w:val="28"/>
      </w:rPr>
      <w:drawing>
        <wp:anchor distT="0" distB="0" distL="0" distR="0" simplePos="0" relativeHeight="251662336" behindDoc="1" locked="0" layoutInCell="1" allowOverlap="1">
          <wp:simplePos x="0" y="0"/>
          <wp:positionH relativeFrom="column">
            <wp:posOffset>22225</wp:posOffset>
          </wp:positionH>
          <wp:positionV relativeFrom="paragraph">
            <wp:posOffset>24130</wp:posOffset>
          </wp:positionV>
          <wp:extent cx="5243195" cy="132080"/>
          <wp:effectExtent l="0" t="0" r="14605" b="1270"/>
          <wp:wrapThrough wrapText="bothSides">
            <wp:wrapPolygon>
              <wp:start x="0" y="0"/>
              <wp:lineTo x="0" y="18692"/>
              <wp:lineTo x="21503" y="18692"/>
              <wp:lineTo x="21503" y="0"/>
              <wp:lineTo x="0" y="0"/>
            </wp:wrapPolygon>
          </wp:wrapThrough>
          <wp:docPr id="8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43195" cy="132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DEF193"/>
    <w:multiLevelType w:val="singleLevel"/>
    <w:tmpl w:val="A2DEF19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A68E3AD"/>
    <w:multiLevelType w:val="singleLevel"/>
    <w:tmpl w:val="6A68E3AD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bordersDoNotSurroundHeader w:val="0"/>
  <w:bordersDoNotSurroundFooter w:val="0"/>
  <w:documentProtection w:formatting="1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EyOTk5NzE5MTdmZjQyZGUyNjQ4ZTY2OGU0YmNmNzQifQ=="/>
  </w:docVars>
  <w:rsids>
    <w:rsidRoot w:val="00D44F61"/>
    <w:rsid w:val="0001752B"/>
    <w:rsid w:val="00030A93"/>
    <w:rsid w:val="00042988"/>
    <w:rsid w:val="00047718"/>
    <w:rsid w:val="000565AA"/>
    <w:rsid w:val="00071844"/>
    <w:rsid w:val="00086163"/>
    <w:rsid w:val="00090CFF"/>
    <w:rsid w:val="00093219"/>
    <w:rsid w:val="000B3568"/>
    <w:rsid w:val="000E6911"/>
    <w:rsid w:val="000F2B61"/>
    <w:rsid w:val="00105054"/>
    <w:rsid w:val="00105B6F"/>
    <w:rsid w:val="0012362F"/>
    <w:rsid w:val="00124591"/>
    <w:rsid w:val="00156681"/>
    <w:rsid w:val="00163BD6"/>
    <w:rsid w:val="0017360F"/>
    <w:rsid w:val="001751E5"/>
    <w:rsid w:val="00180360"/>
    <w:rsid w:val="00180837"/>
    <w:rsid w:val="00185186"/>
    <w:rsid w:val="00190102"/>
    <w:rsid w:val="0019605C"/>
    <w:rsid w:val="001A5574"/>
    <w:rsid w:val="001B3534"/>
    <w:rsid w:val="001C2EE7"/>
    <w:rsid w:val="001D4B33"/>
    <w:rsid w:val="001D5FF9"/>
    <w:rsid w:val="001E1986"/>
    <w:rsid w:val="001F426B"/>
    <w:rsid w:val="001F44A3"/>
    <w:rsid w:val="001F7A3E"/>
    <w:rsid w:val="00214138"/>
    <w:rsid w:val="00225B25"/>
    <w:rsid w:val="00226658"/>
    <w:rsid w:val="0026426B"/>
    <w:rsid w:val="002806BE"/>
    <w:rsid w:val="002874B7"/>
    <w:rsid w:val="00292A37"/>
    <w:rsid w:val="002A6FBE"/>
    <w:rsid w:val="002B3D5B"/>
    <w:rsid w:val="002C4FE2"/>
    <w:rsid w:val="002D787A"/>
    <w:rsid w:val="002E13EB"/>
    <w:rsid w:val="002F0571"/>
    <w:rsid w:val="002F3062"/>
    <w:rsid w:val="00300F0D"/>
    <w:rsid w:val="003074A1"/>
    <w:rsid w:val="0031256C"/>
    <w:rsid w:val="00332D0A"/>
    <w:rsid w:val="00342506"/>
    <w:rsid w:val="0035195A"/>
    <w:rsid w:val="00362007"/>
    <w:rsid w:val="0036410C"/>
    <w:rsid w:val="00375525"/>
    <w:rsid w:val="003A0083"/>
    <w:rsid w:val="003B7609"/>
    <w:rsid w:val="003C3816"/>
    <w:rsid w:val="003C4D1A"/>
    <w:rsid w:val="003D5F42"/>
    <w:rsid w:val="003E3503"/>
    <w:rsid w:val="003E6696"/>
    <w:rsid w:val="003E69C8"/>
    <w:rsid w:val="003F1693"/>
    <w:rsid w:val="004043A0"/>
    <w:rsid w:val="00407688"/>
    <w:rsid w:val="004136FA"/>
    <w:rsid w:val="00414CF0"/>
    <w:rsid w:val="00417DA7"/>
    <w:rsid w:val="00421068"/>
    <w:rsid w:val="004251E1"/>
    <w:rsid w:val="0043045E"/>
    <w:rsid w:val="00444431"/>
    <w:rsid w:val="004711E9"/>
    <w:rsid w:val="00477900"/>
    <w:rsid w:val="0048499E"/>
    <w:rsid w:val="004852FF"/>
    <w:rsid w:val="0049482D"/>
    <w:rsid w:val="004C04EA"/>
    <w:rsid w:val="004C58D1"/>
    <w:rsid w:val="004C7067"/>
    <w:rsid w:val="004F7E82"/>
    <w:rsid w:val="005342D6"/>
    <w:rsid w:val="00551074"/>
    <w:rsid w:val="0055551D"/>
    <w:rsid w:val="00565DEA"/>
    <w:rsid w:val="00573121"/>
    <w:rsid w:val="005761DC"/>
    <w:rsid w:val="0058364E"/>
    <w:rsid w:val="00593E31"/>
    <w:rsid w:val="00597176"/>
    <w:rsid w:val="005A152D"/>
    <w:rsid w:val="005A30A7"/>
    <w:rsid w:val="005D66EE"/>
    <w:rsid w:val="006054FE"/>
    <w:rsid w:val="0062426F"/>
    <w:rsid w:val="00634919"/>
    <w:rsid w:val="00635E57"/>
    <w:rsid w:val="00637AD9"/>
    <w:rsid w:val="00641610"/>
    <w:rsid w:val="00645F70"/>
    <w:rsid w:val="00662948"/>
    <w:rsid w:val="00673F03"/>
    <w:rsid w:val="00677DEF"/>
    <w:rsid w:val="006A3514"/>
    <w:rsid w:val="006A5D66"/>
    <w:rsid w:val="006C3474"/>
    <w:rsid w:val="006C396B"/>
    <w:rsid w:val="006C782B"/>
    <w:rsid w:val="006E02AE"/>
    <w:rsid w:val="00715FF8"/>
    <w:rsid w:val="00717F5B"/>
    <w:rsid w:val="00725D39"/>
    <w:rsid w:val="00733454"/>
    <w:rsid w:val="00740C87"/>
    <w:rsid w:val="007459F6"/>
    <w:rsid w:val="00752C38"/>
    <w:rsid w:val="007604AD"/>
    <w:rsid w:val="0076467D"/>
    <w:rsid w:val="00792406"/>
    <w:rsid w:val="007A7B25"/>
    <w:rsid w:val="007B38B7"/>
    <w:rsid w:val="007C7507"/>
    <w:rsid w:val="007D37C2"/>
    <w:rsid w:val="007E69F6"/>
    <w:rsid w:val="007F23C8"/>
    <w:rsid w:val="007F31DB"/>
    <w:rsid w:val="0080327C"/>
    <w:rsid w:val="00827A04"/>
    <w:rsid w:val="00851B47"/>
    <w:rsid w:val="0085412F"/>
    <w:rsid w:val="0086135E"/>
    <w:rsid w:val="0086474B"/>
    <w:rsid w:val="008733AC"/>
    <w:rsid w:val="008843C3"/>
    <w:rsid w:val="008900A0"/>
    <w:rsid w:val="008B30BC"/>
    <w:rsid w:val="008B793D"/>
    <w:rsid w:val="008C01C7"/>
    <w:rsid w:val="008E0423"/>
    <w:rsid w:val="008E25A1"/>
    <w:rsid w:val="008E65AF"/>
    <w:rsid w:val="008F059E"/>
    <w:rsid w:val="008F381C"/>
    <w:rsid w:val="0091544D"/>
    <w:rsid w:val="0092473D"/>
    <w:rsid w:val="009268DC"/>
    <w:rsid w:val="00927869"/>
    <w:rsid w:val="0093502D"/>
    <w:rsid w:val="009462EC"/>
    <w:rsid w:val="009465FE"/>
    <w:rsid w:val="00985FBA"/>
    <w:rsid w:val="009875FD"/>
    <w:rsid w:val="00991455"/>
    <w:rsid w:val="009A59D9"/>
    <w:rsid w:val="009B4517"/>
    <w:rsid w:val="009D08E9"/>
    <w:rsid w:val="009E3D9B"/>
    <w:rsid w:val="009E455D"/>
    <w:rsid w:val="009E56EB"/>
    <w:rsid w:val="009F3109"/>
    <w:rsid w:val="009F3271"/>
    <w:rsid w:val="00A13486"/>
    <w:rsid w:val="00A1488E"/>
    <w:rsid w:val="00A20E26"/>
    <w:rsid w:val="00A24FF7"/>
    <w:rsid w:val="00A303E9"/>
    <w:rsid w:val="00A545E8"/>
    <w:rsid w:val="00A5706D"/>
    <w:rsid w:val="00AA2EA4"/>
    <w:rsid w:val="00AA66B9"/>
    <w:rsid w:val="00AB2931"/>
    <w:rsid w:val="00AC0647"/>
    <w:rsid w:val="00AE2E4B"/>
    <w:rsid w:val="00AE7E2C"/>
    <w:rsid w:val="00AF0EF9"/>
    <w:rsid w:val="00AF5D67"/>
    <w:rsid w:val="00AF799C"/>
    <w:rsid w:val="00B06314"/>
    <w:rsid w:val="00B31CD2"/>
    <w:rsid w:val="00B43612"/>
    <w:rsid w:val="00B52886"/>
    <w:rsid w:val="00B6623E"/>
    <w:rsid w:val="00B77016"/>
    <w:rsid w:val="00B87284"/>
    <w:rsid w:val="00B95E58"/>
    <w:rsid w:val="00B97C9F"/>
    <w:rsid w:val="00BB6674"/>
    <w:rsid w:val="00BC4DD9"/>
    <w:rsid w:val="00BD7B04"/>
    <w:rsid w:val="00BF30C1"/>
    <w:rsid w:val="00C13697"/>
    <w:rsid w:val="00C276F1"/>
    <w:rsid w:val="00C36488"/>
    <w:rsid w:val="00C43E36"/>
    <w:rsid w:val="00C8572D"/>
    <w:rsid w:val="00CA430B"/>
    <w:rsid w:val="00CA6579"/>
    <w:rsid w:val="00CA7B64"/>
    <w:rsid w:val="00CB0C10"/>
    <w:rsid w:val="00CC474C"/>
    <w:rsid w:val="00CE165A"/>
    <w:rsid w:val="00CE60C8"/>
    <w:rsid w:val="00CE619E"/>
    <w:rsid w:val="00D06A59"/>
    <w:rsid w:val="00D26A27"/>
    <w:rsid w:val="00D37E6F"/>
    <w:rsid w:val="00D44F61"/>
    <w:rsid w:val="00D451E4"/>
    <w:rsid w:val="00D47559"/>
    <w:rsid w:val="00D55B4A"/>
    <w:rsid w:val="00D60AAD"/>
    <w:rsid w:val="00D641E9"/>
    <w:rsid w:val="00D66C0D"/>
    <w:rsid w:val="00D82FB2"/>
    <w:rsid w:val="00D84364"/>
    <w:rsid w:val="00D91171"/>
    <w:rsid w:val="00DB0153"/>
    <w:rsid w:val="00DD4A9D"/>
    <w:rsid w:val="00E151D7"/>
    <w:rsid w:val="00E15234"/>
    <w:rsid w:val="00E22754"/>
    <w:rsid w:val="00E3325B"/>
    <w:rsid w:val="00E55334"/>
    <w:rsid w:val="00E57828"/>
    <w:rsid w:val="00E72416"/>
    <w:rsid w:val="00E73573"/>
    <w:rsid w:val="00E82C5D"/>
    <w:rsid w:val="00EA1F24"/>
    <w:rsid w:val="00EC2D85"/>
    <w:rsid w:val="00EE38E1"/>
    <w:rsid w:val="00F07E20"/>
    <w:rsid w:val="00F16554"/>
    <w:rsid w:val="00F17499"/>
    <w:rsid w:val="00F25D76"/>
    <w:rsid w:val="00F27266"/>
    <w:rsid w:val="00F57F5D"/>
    <w:rsid w:val="00F66AFF"/>
    <w:rsid w:val="00F72A65"/>
    <w:rsid w:val="00F73762"/>
    <w:rsid w:val="00F76BBD"/>
    <w:rsid w:val="00F779F7"/>
    <w:rsid w:val="00F81569"/>
    <w:rsid w:val="00F83E2D"/>
    <w:rsid w:val="00F907D8"/>
    <w:rsid w:val="00F91500"/>
    <w:rsid w:val="00FB2835"/>
    <w:rsid w:val="00FC0657"/>
    <w:rsid w:val="00FC3687"/>
    <w:rsid w:val="01AA1AC9"/>
    <w:rsid w:val="022C28EF"/>
    <w:rsid w:val="029E6C1C"/>
    <w:rsid w:val="02CF5602"/>
    <w:rsid w:val="03AC7B94"/>
    <w:rsid w:val="03B02925"/>
    <w:rsid w:val="04083255"/>
    <w:rsid w:val="04A86794"/>
    <w:rsid w:val="05D86321"/>
    <w:rsid w:val="05EF03F3"/>
    <w:rsid w:val="06180053"/>
    <w:rsid w:val="07B5125A"/>
    <w:rsid w:val="07C35693"/>
    <w:rsid w:val="07D721EC"/>
    <w:rsid w:val="07DC6755"/>
    <w:rsid w:val="08385709"/>
    <w:rsid w:val="08910556"/>
    <w:rsid w:val="08A52FEB"/>
    <w:rsid w:val="08FC322B"/>
    <w:rsid w:val="0AD876A7"/>
    <w:rsid w:val="0AED0014"/>
    <w:rsid w:val="0B7E1671"/>
    <w:rsid w:val="0BC17E1F"/>
    <w:rsid w:val="0CEF0CD8"/>
    <w:rsid w:val="0D5F7C0C"/>
    <w:rsid w:val="0EE47636"/>
    <w:rsid w:val="100B5E29"/>
    <w:rsid w:val="10502A36"/>
    <w:rsid w:val="10831E63"/>
    <w:rsid w:val="10B169D0"/>
    <w:rsid w:val="10C8771B"/>
    <w:rsid w:val="113E3FDC"/>
    <w:rsid w:val="113E5890"/>
    <w:rsid w:val="12353631"/>
    <w:rsid w:val="139D148E"/>
    <w:rsid w:val="14305E5E"/>
    <w:rsid w:val="144C07BE"/>
    <w:rsid w:val="14E878E9"/>
    <w:rsid w:val="15676040"/>
    <w:rsid w:val="15DC4AEB"/>
    <w:rsid w:val="166B5873"/>
    <w:rsid w:val="16AC23AE"/>
    <w:rsid w:val="16C709FC"/>
    <w:rsid w:val="172779EC"/>
    <w:rsid w:val="17C83A62"/>
    <w:rsid w:val="180B61F5"/>
    <w:rsid w:val="18371EB1"/>
    <w:rsid w:val="185145F5"/>
    <w:rsid w:val="1890511D"/>
    <w:rsid w:val="19550115"/>
    <w:rsid w:val="19595E57"/>
    <w:rsid w:val="1A1D3A10"/>
    <w:rsid w:val="1A5C5A27"/>
    <w:rsid w:val="1A7B6F9F"/>
    <w:rsid w:val="1A9F5118"/>
    <w:rsid w:val="1B752F46"/>
    <w:rsid w:val="1B8329A8"/>
    <w:rsid w:val="1C7616CE"/>
    <w:rsid w:val="1CF52953"/>
    <w:rsid w:val="1D803656"/>
    <w:rsid w:val="1DB501D6"/>
    <w:rsid w:val="1E9F430C"/>
    <w:rsid w:val="1ED77569"/>
    <w:rsid w:val="1F336775"/>
    <w:rsid w:val="1F5F69D8"/>
    <w:rsid w:val="1F9951FF"/>
    <w:rsid w:val="1FBA6F24"/>
    <w:rsid w:val="1FBF671F"/>
    <w:rsid w:val="206C46C2"/>
    <w:rsid w:val="21645399"/>
    <w:rsid w:val="21A9016E"/>
    <w:rsid w:val="22097CEF"/>
    <w:rsid w:val="2253030C"/>
    <w:rsid w:val="23CD2307"/>
    <w:rsid w:val="23D50890"/>
    <w:rsid w:val="240C526E"/>
    <w:rsid w:val="242F72BF"/>
    <w:rsid w:val="24616861"/>
    <w:rsid w:val="24A02B8C"/>
    <w:rsid w:val="24AA2336"/>
    <w:rsid w:val="255A038E"/>
    <w:rsid w:val="25D951D2"/>
    <w:rsid w:val="260B04D9"/>
    <w:rsid w:val="266B71CA"/>
    <w:rsid w:val="27932534"/>
    <w:rsid w:val="2799466D"/>
    <w:rsid w:val="27AE7775"/>
    <w:rsid w:val="293E5439"/>
    <w:rsid w:val="29777DCC"/>
    <w:rsid w:val="298738F5"/>
    <w:rsid w:val="2AA92FD2"/>
    <w:rsid w:val="2B4F0E68"/>
    <w:rsid w:val="2D583F9E"/>
    <w:rsid w:val="2D5C5ABE"/>
    <w:rsid w:val="2EAF6889"/>
    <w:rsid w:val="2EE847BC"/>
    <w:rsid w:val="2EF57F78"/>
    <w:rsid w:val="2FAB0996"/>
    <w:rsid w:val="2FEB1712"/>
    <w:rsid w:val="2FFC15DF"/>
    <w:rsid w:val="3049232A"/>
    <w:rsid w:val="31025E73"/>
    <w:rsid w:val="310B5831"/>
    <w:rsid w:val="32563D7B"/>
    <w:rsid w:val="32BF4B25"/>
    <w:rsid w:val="32DA17BF"/>
    <w:rsid w:val="32E16581"/>
    <w:rsid w:val="32EE71B8"/>
    <w:rsid w:val="330016EB"/>
    <w:rsid w:val="33396F17"/>
    <w:rsid w:val="34237336"/>
    <w:rsid w:val="357C3C3D"/>
    <w:rsid w:val="37386C54"/>
    <w:rsid w:val="37C03980"/>
    <w:rsid w:val="37DF4B1E"/>
    <w:rsid w:val="3908412D"/>
    <w:rsid w:val="39401470"/>
    <w:rsid w:val="39FA59F6"/>
    <w:rsid w:val="3A164696"/>
    <w:rsid w:val="3A345DF9"/>
    <w:rsid w:val="3AE1618D"/>
    <w:rsid w:val="3C033CD5"/>
    <w:rsid w:val="3CB40325"/>
    <w:rsid w:val="3D92550B"/>
    <w:rsid w:val="3E4660FB"/>
    <w:rsid w:val="3EAA2589"/>
    <w:rsid w:val="3F4D5E84"/>
    <w:rsid w:val="3F784373"/>
    <w:rsid w:val="3FAB1200"/>
    <w:rsid w:val="3FC4377B"/>
    <w:rsid w:val="3FDD483D"/>
    <w:rsid w:val="4110479E"/>
    <w:rsid w:val="419F422C"/>
    <w:rsid w:val="41D35EF7"/>
    <w:rsid w:val="423D7815"/>
    <w:rsid w:val="425450BD"/>
    <w:rsid w:val="42861137"/>
    <w:rsid w:val="430543F5"/>
    <w:rsid w:val="4312316F"/>
    <w:rsid w:val="44432D59"/>
    <w:rsid w:val="44617EA7"/>
    <w:rsid w:val="4486645D"/>
    <w:rsid w:val="448D5A1E"/>
    <w:rsid w:val="44906321"/>
    <w:rsid w:val="449B239D"/>
    <w:rsid w:val="45006C2A"/>
    <w:rsid w:val="45BE7A4B"/>
    <w:rsid w:val="465A6BE7"/>
    <w:rsid w:val="465B431C"/>
    <w:rsid w:val="46AA2F9F"/>
    <w:rsid w:val="46F82E53"/>
    <w:rsid w:val="47EC46B8"/>
    <w:rsid w:val="48130C0B"/>
    <w:rsid w:val="481A269E"/>
    <w:rsid w:val="4941408E"/>
    <w:rsid w:val="4A5971B6"/>
    <w:rsid w:val="4C6065D9"/>
    <w:rsid w:val="4C856040"/>
    <w:rsid w:val="4D0F4726"/>
    <w:rsid w:val="4DAD1CF2"/>
    <w:rsid w:val="4E162CE3"/>
    <w:rsid w:val="4E3E3FEC"/>
    <w:rsid w:val="4E61189A"/>
    <w:rsid w:val="4E9C3B15"/>
    <w:rsid w:val="4F9111A0"/>
    <w:rsid w:val="4FE17A31"/>
    <w:rsid w:val="50816846"/>
    <w:rsid w:val="519C4558"/>
    <w:rsid w:val="51B86EB8"/>
    <w:rsid w:val="51E529E0"/>
    <w:rsid w:val="525104D1"/>
    <w:rsid w:val="53061DFB"/>
    <w:rsid w:val="53D9109E"/>
    <w:rsid w:val="54017769"/>
    <w:rsid w:val="5423464B"/>
    <w:rsid w:val="55050D00"/>
    <w:rsid w:val="55432F3C"/>
    <w:rsid w:val="55674E7D"/>
    <w:rsid w:val="5641747C"/>
    <w:rsid w:val="56680EAC"/>
    <w:rsid w:val="566C76A7"/>
    <w:rsid w:val="56BC008F"/>
    <w:rsid w:val="57FF139C"/>
    <w:rsid w:val="58896EB8"/>
    <w:rsid w:val="58AB3A9F"/>
    <w:rsid w:val="58DF11CE"/>
    <w:rsid w:val="59142C25"/>
    <w:rsid w:val="59E22D24"/>
    <w:rsid w:val="5A971D60"/>
    <w:rsid w:val="5AFA22EF"/>
    <w:rsid w:val="5BDE576D"/>
    <w:rsid w:val="5CEB0141"/>
    <w:rsid w:val="5D5568A2"/>
    <w:rsid w:val="5DE51034"/>
    <w:rsid w:val="604007A4"/>
    <w:rsid w:val="6087074E"/>
    <w:rsid w:val="60FE5162"/>
    <w:rsid w:val="613C71BD"/>
    <w:rsid w:val="62C21944"/>
    <w:rsid w:val="62D90A3C"/>
    <w:rsid w:val="63754C08"/>
    <w:rsid w:val="638E7A78"/>
    <w:rsid w:val="643248A8"/>
    <w:rsid w:val="649C61C5"/>
    <w:rsid w:val="64B61E80"/>
    <w:rsid w:val="64BA1045"/>
    <w:rsid w:val="64F6176B"/>
    <w:rsid w:val="64F735D8"/>
    <w:rsid w:val="651936B0"/>
    <w:rsid w:val="653B6DB7"/>
    <w:rsid w:val="65D57BE0"/>
    <w:rsid w:val="665B55F2"/>
    <w:rsid w:val="668B64F1"/>
    <w:rsid w:val="67184229"/>
    <w:rsid w:val="67515045"/>
    <w:rsid w:val="68085DE2"/>
    <w:rsid w:val="68AF241A"/>
    <w:rsid w:val="697119CE"/>
    <w:rsid w:val="69C257AE"/>
    <w:rsid w:val="6AEA5EDC"/>
    <w:rsid w:val="6D80534B"/>
    <w:rsid w:val="6DAF51BB"/>
    <w:rsid w:val="6DD55C0F"/>
    <w:rsid w:val="6E4678CD"/>
    <w:rsid w:val="6E661D1D"/>
    <w:rsid w:val="6EFC1D3A"/>
    <w:rsid w:val="6EFE14B7"/>
    <w:rsid w:val="6F1F3C7A"/>
    <w:rsid w:val="6F451933"/>
    <w:rsid w:val="6F6A1399"/>
    <w:rsid w:val="6FB26C4A"/>
    <w:rsid w:val="6FB937F0"/>
    <w:rsid w:val="70057314"/>
    <w:rsid w:val="709105FE"/>
    <w:rsid w:val="71285CA1"/>
    <w:rsid w:val="718524BB"/>
    <w:rsid w:val="71854C3F"/>
    <w:rsid w:val="72200435"/>
    <w:rsid w:val="73117D7E"/>
    <w:rsid w:val="731305A5"/>
    <w:rsid w:val="733C4DFB"/>
    <w:rsid w:val="733D128C"/>
    <w:rsid w:val="742E693B"/>
    <w:rsid w:val="743C0782"/>
    <w:rsid w:val="745D14CD"/>
    <w:rsid w:val="748B1F17"/>
    <w:rsid w:val="74EB1FCF"/>
    <w:rsid w:val="74F8254C"/>
    <w:rsid w:val="754601B3"/>
    <w:rsid w:val="762665AF"/>
    <w:rsid w:val="76956494"/>
    <w:rsid w:val="76ED2283"/>
    <w:rsid w:val="76F53C3E"/>
    <w:rsid w:val="771110BC"/>
    <w:rsid w:val="77212C85"/>
    <w:rsid w:val="774D3A7A"/>
    <w:rsid w:val="79CB0C87"/>
    <w:rsid w:val="7A721A4A"/>
    <w:rsid w:val="7A88301C"/>
    <w:rsid w:val="7B320B58"/>
    <w:rsid w:val="7BC97230"/>
    <w:rsid w:val="7BEE534A"/>
    <w:rsid w:val="7C262AEC"/>
    <w:rsid w:val="7C542D13"/>
    <w:rsid w:val="7CAD4FBB"/>
    <w:rsid w:val="7CE36AB9"/>
    <w:rsid w:val="7CE566BC"/>
    <w:rsid w:val="7D0F187B"/>
    <w:rsid w:val="7F2C21C7"/>
    <w:rsid w:val="7F9B734D"/>
    <w:rsid w:val="7FD43817"/>
    <w:rsid w:val="7FEC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140" w:after="80"/>
      <w:outlineLvl w:val="0"/>
    </w:pPr>
    <w:rPr>
      <w:rFonts w:asciiTheme="majorHAnsi" w:hAnsiTheme="majorHAnsi" w:eastAsiaTheme="majorEastAsia" w:cstheme="majorBidi"/>
      <w:b/>
      <w:bCs/>
      <w:color w:val="202020"/>
      <w:sz w:val="25"/>
      <w:szCs w:val="28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Emphasis"/>
    <w:basedOn w:val="8"/>
    <w:qFormat/>
    <w:uiPriority w:val="20"/>
    <w:rPr>
      <w:i/>
    </w:rPr>
  </w:style>
  <w:style w:type="character" w:styleId="10">
    <w:name w:val="Hyperlink"/>
    <w:basedOn w:val="8"/>
    <w:autoRedefine/>
    <w:unhideWhenUsed/>
    <w:qFormat/>
    <w:uiPriority w:val="99"/>
    <w:rPr>
      <w:color w:val="0000FF"/>
      <w:u w:val="single"/>
    </w:rPr>
  </w:style>
  <w:style w:type="character" w:customStyle="1" w:styleId="11">
    <w:name w:val="页眉 字符"/>
    <w:basedOn w:val="8"/>
    <w:link w:val="4"/>
    <w:autoRedefine/>
    <w:qFormat/>
    <w:uiPriority w:val="99"/>
    <w:rPr>
      <w:rFonts w:ascii="宋体" w:hAnsi="宋体" w:cs="宋体"/>
      <w:sz w:val="18"/>
      <w:szCs w:val="18"/>
    </w:rPr>
  </w:style>
  <w:style w:type="character" w:customStyle="1" w:styleId="12">
    <w:name w:val="页脚 字符"/>
    <w:basedOn w:val="8"/>
    <w:link w:val="3"/>
    <w:autoRedefine/>
    <w:qFormat/>
    <w:uiPriority w:val="99"/>
    <w:rPr>
      <w:rFonts w:ascii="宋体" w:hAnsi="宋体" w:cs="宋体"/>
      <w:sz w:val="18"/>
      <w:szCs w:val="18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character" w:customStyle="1" w:styleId="14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5">
    <w:name w:val="正文（自主）"/>
    <w:basedOn w:val="1"/>
    <w:qFormat/>
    <w:uiPriority w:val="0"/>
    <w:pPr>
      <w:spacing w:after="0"/>
    </w:pPr>
    <w:rPr>
      <w:rFonts w:ascii="Times New Roman" w:hAnsi="Times New Roman" w:eastAsia="宋体"/>
      <w:sz w:val="18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D3E56E8-B0D9-46D9-A0F4-BE7C3AD40C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1356</Words>
  <Characters>1870</Characters>
  <Lines>5</Lines>
  <Paragraphs>1</Paragraphs>
  <TotalTime>0</TotalTime>
  <ScaleCrop>false</ScaleCrop>
  <LinksUpToDate>false</LinksUpToDate>
  <CharactersWithSpaces>1993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2025-03-19T05:55:00Z</dcterms:created>
  <dc:creator>Administrator</dc:creator>
  <cp:lastModifiedBy>开心的眼泪</cp:lastModifiedBy>
  <dcterms:modified xsi:type="dcterms:W3CDTF">2026-09-18T08:44:38Z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1061797B7A9842D1B43D22862FB8DA17_13</vt:lpwstr>
  </property>
  <property fmtid="{D5CDD505-2E9C-101B-9397-08002B2CF9AE}" pid="4" name="KSOTemplateDocerSaveRecord">
    <vt:lpwstr>eyJoZGlkIjoiZjczMTc2NjMyNmU1YjZhZjFiYTQzMTNlZDlmYzZhN2MiLCJ1c2VySWQiOiIzMjgzNzkxNzIifQ==</vt:lpwstr>
  </property>
</Properties>
</file>